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C5096" w14:textId="43025349" w:rsidR="00715898" w:rsidRPr="00821A61" w:rsidRDefault="00807299" w:rsidP="00821A6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26C38E0" w14:textId="77777777" w:rsidR="00715898" w:rsidRPr="00821A61" w:rsidRDefault="00807299" w:rsidP="00821A6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b/>
          <w:sz w:val="24"/>
          <w:szCs w:val="24"/>
        </w:rPr>
        <w:t>Burmistrz Łap ogłasza</w:t>
      </w:r>
    </w:p>
    <w:p w14:paraId="2CCEAD90" w14:textId="67372005" w:rsidR="00715898" w:rsidRPr="00821A61" w:rsidRDefault="00E0215A" w:rsidP="00821A6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b/>
          <w:sz w:val="24"/>
          <w:szCs w:val="24"/>
        </w:rPr>
        <w:t>trzeci</w:t>
      </w:r>
      <w:r w:rsidR="00165756" w:rsidRPr="0082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DB2" w:rsidRPr="00821A61">
        <w:rPr>
          <w:rFonts w:ascii="Times New Roman" w:hAnsi="Times New Roman" w:cs="Times New Roman"/>
          <w:b/>
          <w:sz w:val="24"/>
          <w:szCs w:val="24"/>
        </w:rPr>
        <w:t xml:space="preserve">pisemny </w:t>
      </w:r>
      <w:r w:rsidR="00807299" w:rsidRPr="00821A61">
        <w:rPr>
          <w:rFonts w:ascii="Times New Roman" w:hAnsi="Times New Roman" w:cs="Times New Roman"/>
          <w:b/>
          <w:sz w:val="24"/>
          <w:szCs w:val="24"/>
        </w:rPr>
        <w:t>przetarg na sprzedaż</w:t>
      </w:r>
      <w:r w:rsidR="00680DE2" w:rsidRPr="0082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99" w:rsidRPr="00821A61">
        <w:rPr>
          <w:rFonts w:ascii="Times New Roman" w:hAnsi="Times New Roman" w:cs="Times New Roman"/>
          <w:b/>
          <w:sz w:val="24"/>
          <w:szCs w:val="24"/>
        </w:rPr>
        <w:t>prawa użytkowania wieczystego nieruchomości, stanow</w:t>
      </w:r>
      <w:r w:rsidR="00A90E1D" w:rsidRPr="00821A61">
        <w:rPr>
          <w:rFonts w:ascii="Times New Roman" w:hAnsi="Times New Roman" w:cs="Times New Roman"/>
          <w:b/>
          <w:sz w:val="24"/>
          <w:szCs w:val="24"/>
        </w:rPr>
        <w:t>iących własność Skarbu Państwa</w:t>
      </w:r>
      <w:r w:rsidR="00364595" w:rsidRPr="00821A61">
        <w:rPr>
          <w:rFonts w:ascii="Times New Roman" w:hAnsi="Times New Roman" w:cs="Times New Roman"/>
          <w:b/>
          <w:sz w:val="24"/>
          <w:szCs w:val="24"/>
        </w:rPr>
        <w:t>,</w:t>
      </w:r>
      <w:r w:rsidR="00A90E1D" w:rsidRPr="0082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99" w:rsidRPr="00821A61">
        <w:rPr>
          <w:rFonts w:ascii="Times New Roman" w:hAnsi="Times New Roman" w:cs="Times New Roman"/>
          <w:b/>
          <w:sz w:val="24"/>
          <w:szCs w:val="24"/>
        </w:rPr>
        <w:t>w użytkowaniu wieczystym Gminy Łapy</w:t>
      </w:r>
    </w:p>
    <w:p w14:paraId="0FE52C08" w14:textId="77777777" w:rsidR="00A90E1D" w:rsidRPr="00821A61" w:rsidRDefault="00A90E1D" w:rsidP="00821A6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6E3A7" w14:textId="77777777" w:rsidR="00715898" w:rsidRPr="00821A61" w:rsidRDefault="00807299" w:rsidP="00821A61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b/>
          <w:sz w:val="24"/>
          <w:szCs w:val="24"/>
        </w:rPr>
        <w:t>Przedmiot przetargu.</w:t>
      </w:r>
    </w:p>
    <w:p w14:paraId="7FE87912" w14:textId="77777777" w:rsidR="00715898" w:rsidRPr="00821A61" w:rsidRDefault="00807299" w:rsidP="00821A61">
      <w:pPr>
        <w:pStyle w:val="Akapitzlist"/>
        <w:numPr>
          <w:ilvl w:val="1"/>
          <w:numId w:val="1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Przedmiotem przetargu jest sprzedaż p</w:t>
      </w:r>
      <w:r w:rsidR="00212C22" w:rsidRPr="00821A61">
        <w:rPr>
          <w:rFonts w:ascii="Times New Roman" w:hAnsi="Times New Roman" w:cs="Times New Roman"/>
          <w:sz w:val="24"/>
          <w:szCs w:val="24"/>
        </w:rPr>
        <w:t xml:space="preserve">rawa użytkowania wieczystego </w:t>
      </w:r>
      <w:r w:rsidRPr="00821A61">
        <w:rPr>
          <w:rFonts w:ascii="Times New Roman" w:hAnsi="Times New Roman" w:cs="Times New Roman"/>
          <w:sz w:val="24"/>
          <w:szCs w:val="24"/>
        </w:rPr>
        <w:t>niezabudowanych nieruchomości</w:t>
      </w:r>
      <w:r w:rsidR="00680DE2" w:rsidRPr="00821A61">
        <w:rPr>
          <w:rFonts w:ascii="Times New Roman" w:hAnsi="Times New Roman" w:cs="Times New Roman"/>
          <w:sz w:val="24"/>
          <w:szCs w:val="24"/>
        </w:rPr>
        <w:t>,</w:t>
      </w:r>
      <w:r w:rsidRPr="00821A61">
        <w:rPr>
          <w:rFonts w:ascii="Times New Roman" w:hAnsi="Times New Roman" w:cs="Times New Roman"/>
          <w:sz w:val="24"/>
          <w:szCs w:val="24"/>
        </w:rPr>
        <w:t xml:space="preserve"> stanowiących własność Skarbu Państwa</w:t>
      </w:r>
      <w:r w:rsidR="00364595" w:rsidRPr="00821A61">
        <w:rPr>
          <w:rFonts w:ascii="Times New Roman" w:hAnsi="Times New Roman" w:cs="Times New Roman"/>
          <w:sz w:val="24"/>
          <w:szCs w:val="24"/>
        </w:rPr>
        <w:t>,</w:t>
      </w:r>
      <w:r w:rsidRPr="00821A61">
        <w:rPr>
          <w:rFonts w:ascii="Times New Roman" w:hAnsi="Times New Roman" w:cs="Times New Roman"/>
          <w:sz w:val="24"/>
          <w:szCs w:val="24"/>
        </w:rPr>
        <w:t xml:space="preserve"> w użytkowaniu wieczystym Gminy Łap</w:t>
      </w:r>
      <w:r w:rsidR="00AA03C1" w:rsidRPr="00821A61">
        <w:rPr>
          <w:rFonts w:ascii="Times New Roman" w:hAnsi="Times New Roman" w:cs="Times New Roman"/>
          <w:sz w:val="24"/>
          <w:szCs w:val="24"/>
        </w:rPr>
        <w:t>y do dnia 14.03.2090 r.</w:t>
      </w:r>
      <w:r w:rsidR="00680DE2" w:rsidRPr="00821A61">
        <w:rPr>
          <w:rFonts w:ascii="Times New Roman" w:hAnsi="Times New Roman" w:cs="Times New Roman"/>
          <w:sz w:val="24"/>
          <w:szCs w:val="24"/>
        </w:rPr>
        <w:t>,</w:t>
      </w:r>
      <w:r w:rsidR="00AA03C1" w:rsidRPr="00821A61">
        <w:rPr>
          <w:rFonts w:ascii="Times New Roman" w:hAnsi="Times New Roman" w:cs="Times New Roman"/>
          <w:sz w:val="24"/>
          <w:szCs w:val="24"/>
        </w:rPr>
        <w:t xml:space="preserve"> położonych</w:t>
      </w:r>
      <w:r w:rsidRPr="00821A61">
        <w:rPr>
          <w:rFonts w:ascii="Times New Roman" w:hAnsi="Times New Roman" w:cs="Times New Roman"/>
          <w:sz w:val="24"/>
          <w:szCs w:val="24"/>
        </w:rPr>
        <w:t xml:space="preserve"> na terenie Podstrefy Łapy Tarnobrzeskiej Specjalnej Strefy</w:t>
      </w:r>
      <w:r w:rsidR="00364595" w:rsidRPr="00821A61">
        <w:rPr>
          <w:rFonts w:ascii="Times New Roman" w:hAnsi="Times New Roman" w:cs="Times New Roman"/>
          <w:sz w:val="24"/>
          <w:szCs w:val="24"/>
        </w:rPr>
        <w:t>,</w:t>
      </w:r>
      <w:r w:rsidRPr="00821A61">
        <w:rPr>
          <w:rFonts w:ascii="Times New Roman" w:hAnsi="Times New Roman" w:cs="Times New Roman"/>
          <w:sz w:val="24"/>
          <w:szCs w:val="24"/>
        </w:rPr>
        <w:t xml:space="preserve"> Ekonomiczn</w:t>
      </w:r>
      <w:r w:rsidR="00AA03C1" w:rsidRPr="00821A61">
        <w:rPr>
          <w:rFonts w:ascii="Times New Roman" w:hAnsi="Times New Roman" w:cs="Times New Roman"/>
          <w:sz w:val="24"/>
          <w:szCs w:val="24"/>
        </w:rPr>
        <w:t>ej EURO-PARK WISŁOSAN, oznaczonych</w:t>
      </w:r>
      <w:r w:rsidRPr="00821A61">
        <w:rPr>
          <w:rFonts w:ascii="Times New Roman" w:hAnsi="Times New Roman" w:cs="Times New Roman"/>
          <w:sz w:val="24"/>
          <w:szCs w:val="24"/>
        </w:rPr>
        <w:t xml:space="preserve"> numerami geodezyjnymi:</w:t>
      </w:r>
    </w:p>
    <w:tbl>
      <w:tblPr>
        <w:tblW w:w="85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1"/>
        <w:gridCol w:w="1327"/>
        <w:gridCol w:w="1461"/>
        <w:gridCol w:w="1372"/>
        <w:gridCol w:w="1781"/>
        <w:gridCol w:w="1461"/>
        <w:gridCol w:w="961"/>
      </w:tblGrid>
      <w:tr w:rsidR="002F66C5" w:rsidRPr="00821A61" w14:paraId="2B8886A2" w14:textId="77777777" w:rsidTr="008446A0">
        <w:trPr>
          <w:cantSplit/>
          <w:trHeight w:val="1317"/>
          <w:jc w:val="center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479ADF7" w14:textId="77777777" w:rsidR="00715898" w:rsidRPr="007F0818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B138B1D" w14:textId="77777777" w:rsidR="00715898" w:rsidRPr="007F0818" w:rsidRDefault="00807299" w:rsidP="00821A61">
            <w:pPr>
              <w:spacing w:after="0" w:line="288" w:lineRule="auto"/>
              <w:ind w:left="-134" w:firstLine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>Adres nieruchomości</w:t>
            </w:r>
          </w:p>
          <w:p w14:paraId="57CC9BB8" w14:textId="77777777" w:rsidR="00715898" w:rsidRPr="007F0818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>[obręb]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F7EC6EC" w14:textId="77777777" w:rsidR="00715898" w:rsidRPr="007F0818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Oznaczenie nieruchomości </w:t>
            </w: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ewidencji gruntów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DA226D9" w14:textId="77777777" w:rsidR="00715898" w:rsidRPr="007F0818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>Powierzchnia [ha]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0B927DF" w14:textId="244E1453" w:rsidR="00715898" w:rsidRPr="007F0818" w:rsidRDefault="00600AC3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>KW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A3B9C70" w14:textId="77777777" w:rsidR="00715898" w:rsidRPr="007F0818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</w:t>
            </w:r>
          </w:p>
          <w:p w14:paraId="2BED2312" w14:textId="77777777" w:rsidR="00715898" w:rsidRPr="007F0818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3672DB9" w14:textId="77777777" w:rsidR="00715898" w:rsidRPr="007F0818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>Wadium</w:t>
            </w:r>
          </w:p>
          <w:p w14:paraId="6851F748" w14:textId="77777777" w:rsidR="00715898" w:rsidRPr="007F0818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818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</w:tr>
      <w:tr w:rsidR="002F66C5" w:rsidRPr="00821A61" w14:paraId="2359E606" w14:textId="77777777" w:rsidTr="008446A0">
        <w:trPr>
          <w:trHeight w:val="1014"/>
          <w:jc w:val="center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1C9E6" w14:textId="77777777" w:rsidR="00715898" w:rsidRPr="00821A61" w:rsidRDefault="002E6C7A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A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B363F" w14:textId="29E0BF75" w:rsidR="002E6C7A" w:rsidRPr="00821A61" w:rsidRDefault="002E6C7A" w:rsidP="00821A6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A61">
              <w:rPr>
                <w:rFonts w:ascii="Times New Roman" w:hAnsi="Times New Roman" w:cs="Times New Roman"/>
                <w:i/>
                <w:iCs/>
              </w:rPr>
              <w:t>Łapy II</w:t>
            </w:r>
            <w:r w:rsidR="00720BD2" w:rsidRPr="00821A6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AED09D8" w14:textId="77777777" w:rsidR="00715898" w:rsidRPr="00821A61" w:rsidRDefault="002E6C7A" w:rsidP="00821A6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A61">
              <w:rPr>
                <w:rFonts w:ascii="Times New Roman" w:hAnsi="Times New Roman" w:cs="Times New Roman"/>
                <w:i/>
                <w:iCs/>
              </w:rPr>
              <w:t>Łapy-Szołajdy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19742" w14:textId="77777777" w:rsidR="000C4480" w:rsidRPr="00821A61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 xml:space="preserve">211/5 </w:t>
            </w:r>
          </w:p>
          <w:p w14:paraId="029F8029" w14:textId="6ED96B2D" w:rsidR="00715898" w:rsidRPr="00821A61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 xml:space="preserve"> 14/22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44C75" w14:textId="77777777" w:rsidR="00715898" w:rsidRPr="00821A61" w:rsidRDefault="00807299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1,4497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5FAC1" w14:textId="7AC4300D" w:rsidR="00715898" w:rsidRPr="00821A61" w:rsidRDefault="00600AC3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BI1B/00193318/9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164D9" w14:textId="3DBC489A" w:rsidR="00715898" w:rsidRPr="00821A61" w:rsidRDefault="009012E2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593 710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6D584" w14:textId="3A09BDDE" w:rsidR="00715898" w:rsidRPr="00821A61" w:rsidRDefault="009012E2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118 700</w:t>
            </w:r>
          </w:p>
        </w:tc>
      </w:tr>
      <w:tr w:rsidR="000C4480" w:rsidRPr="00821A61" w14:paraId="62A5E927" w14:textId="77777777" w:rsidTr="008446A0">
        <w:trPr>
          <w:trHeight w:val="1014"/>
          <w:jc w:val="center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C851D" w14:textId="7F77A11A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A6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B775BA" w14:textId="2E1DA8B9" w:rsidR="000C4480" w:rsidRPr="00821A61" w:rsidRDefault="000C4480" w:rsidP="00821A6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A61">
              <w:rPr>
                <w:rFonts w:ascii="Times New Roman" w:hAnsi="Times New Roman" w:cs="Times New Roman"/>
                <w:i/>
                <w:iCs/>
              </w:rPr>
              <w:t xml:space="preserve">Łapy II  </w:t>
            </w:r>
          </w:p>
          <w:p w14:paraId="588B5AB0" w14:textId="002C20A3" w:rsidR="000C4480" w:rsidRPr="00821A61" w:rsidRDefault="000C4480" w:rsidP="00821A6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A61">
              <w:rPr>
                <w:rFonts w:ascii="Times New Roman" w:hAnsi="Times New Roman" w:cs="Times New Roman"/>
                <w:i/>
                <w:iCs/>
              </w:rPr>
              <w:t>Łapy-Szołajdy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73FC5" w14:textId="77777777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 xml:space="preserve">211/6  </w:t>
            </w:r>
          </w:p>
          <w:p w14:paraId="7522F1C5" w14:textId="4C4630F2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14/23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1F89E" w14:textId="4F760882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1,0658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BAE86" w14:textId="3B4827C3" w:rsidR="000C4480" w:rsidRPr="00821A61" w:rsidRDefault="00600AC3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A61">
              <w:rPr>
                <w:rFonts w:ascii="Times New Roman" w:hAnsi="Times New Roman" w:cs="Times New Roman"/>
                <w:i/>
                <w:iCs/>
              </w:rPr>
              <w:t>BI1B/00265944/2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F31E74" w14:textId="162BD7EA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436 500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E3FE77" w14:textId="0B1F5057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87 300</w:t>
            </w:r>
          </w:p>
        </w:tc>
      </w:tr>
      <w:tr w:rsidR="000C4480" w:rsidRPr="00821A61" w14:paraId="46704D7D" w14:textId="77777777" w:rsidTr="008446A0">
        <w:trPr>
          <w:trHeight w:val="1014"/>
          <w:jc w:val="center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05AE4" w14:textId="2B6C5BD5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A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CCC4E" w14:textId="42DE840B" w:rsidR="000C4480" w:rsidRPr="00821A61" w:rsidRDefault="000C4480" w:rsidP="00821A6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A61">
              <w:rPr>
                <w:rFonts w:ascii="Times New Roman" w:hAnsi="Times New Roman" w:cs="Times New Roman"/>
                <w:i/>
                <w:iCs/>
              </w:rPr>
              <w:t xml:space="preserve">Łapy II  </w:t>
            </w:r>
          </w:p>
          <w:p w14:paraId="746BAEDF" w14:textId="1266A3EF" w:rsidR="000C4480" w:rsidRPr="00821A61" w:rsidRDefault="000C4480" w:rsidP="00821A6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A61">
              <w:rPr>
                <w:rFonts w:ascii="Times New Roman" w:hAnsi="Times New Roman" w:cs="Times New Roman"/>
                <w:i/>
                <w:iCs/>
              </w:rPr>
              <w:t>Łapy-Szołajdy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458A0" w14:textId="77777777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211/7</w:t>
            </w:r>
          </w:p>
          <w:p w14:paraId="62209D3E" w14:textId="52B0C863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 xml:space="preserve"> 14/24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3D33A9" w14:textId="537B52CC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1,0642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38F97" w14:textId="18AA02C6" w:rsidR="000C4480" w:rsidRPr="00821A61" w:rsidRDefault="00600AC3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1A61">
              <w:rPr>
                <w:rFonts w:ascii="Times New Roman" w:hAnsi="Times New Roman" w:cs="Times New Roman"/>
                <w:i/>
                <w:iCs/>
              </w:rPr>
              <w:t>BI1B/00270729/7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892B5" w14:textId="5906E828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436 000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11785" w14:textId="208D9B60" w:rsidR="000C4480" w:rsidRPr="00821A61" w:rsidRDefault="000C4480" w:rsidP="00821A61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21A61">
              <w:rPr>
                <w:rFonts w:ascii="Times New Roman" w:hAnsi="Times New Roman" w:cs="Times New Roman"/>
                <w:i/>
              </w:rPr>
              <w:t>87 200</w:t>
            </w:r>
          </w:p>
        </w:tc>
      </w:tr>
    </w:tbl>
    <w:p w14:paraId="0300833E" w14:textId="77777777" w:rsidR="00715898" w:rsidRPr="00821A61" w:rsidRDefault="00715898" w:rsidP="00821A61">
      <w:pPr>
        <w:pStyle w:val="Akapitzlist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51A1DD" w14:textId="77777777" w:rsidR="00715898" w:rsidRPr="00821A61" w:rsidRDefault="00807299" w:rsidP="00821A61">
      <w:pPr>
        <w:pStyle w:val="Akapitzlist"/>
        <w:numPr>
          <w:ilvl w:val="1"/>
          <w:numId w:val="1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Do ceny nieruchomości zostanie doliczony podatek VAT</w:t>
      </w:r>
      <w:r w:rsidR="00680DE2" w:rsidRPr="00821A61">
        <w:rPr>
          <w:rFonts w:ascii="Times New Roman" w:hAnsi="Times New Roman" w:cs="Times New Roman"/>
          <w:sz w:val="24"/>
          <w:szCs w:val="24"/>
        </w:rPr>
        <w:t>,</w:t>
      </w:r>
      <w:r w:rsidRPr="00821A61">
        <w:rPr>
          <w:rFonts w:ascii="Times New Roman" w:hAnsi="Times New Roman" w:cs="Times New Roman"/>
          <w:sz w:val="24"/>
          <w:szCs w:val="24"/>
        </w:rPr>
        <w:t xml:space="preserve"> wg stawki obowiązującej w terminie zapłaty (aktualna stawka podatku VAT wynosi 23%).</w:t>
      </w:r>
    </w:p>
    <w:p w14:paraId="46BB66AA" w14:textId="77777777" w:rsidR="00715898" w:rsidRPr="00821A61" w:rsidRDefault="00807299" w:rsidP="00821A61">
      <w:pPr>
        <w:pStyle w:val="Akapitzlist"/>
        <w:numPr>
          <w:ilvl w:val="1"/>
          <w:numId w:val="1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Nieruchomoś</w:t>
      </w:r>
      <w:r w:rsidR="00364595" w:rsidRPr="00821A61">
        <w:rPr>
          <w:rFonts w:ascii="Times New Roman" w:hAnsi="Times New Roman" w:cs="Times New Roman"/>
          <w:sz w:val="24"/>
          <w:szCs w:val="24"/>
        </w:rPr>
        <w:t>ci wolne są od długów, ciężarów oraz</w:t>
      </w:r>
      <w:r w:rsidRPr="00821A61">
        <w:rPr>
          <w:rFonts w:ascii="Times New Roman" w:hAnsi="Times New Roman" w:cs="Times New Roman"/>
          <w:sz w:val="24"/>
          <w:szCs w:val="24"/>
        </w:rPr>
        <w:t xml:space="preserve"> roszczeń osób trzecich. </w:t>
      </w:r>
    </w:p>
    <w:p w14:paraId="1E5E5742" w14:textId="77777777" w:rsidR="00715898" w:rsidRPr="00821A61" w:rsidRDefault="00807299" w:rsidP="00821A61">
      <w:pPr>
        <w:pStyle w:val="Akapitzlist"/>
        <w:numPr>
          <w:ilvl w:val="1"/>
          <w:numId w:val="1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Zgodnie z miejscowym planem zagospodarowania przestrzennego nieruchomości położone są na obszarze przeznaczonym pod działalność produkcyjną i usługową, w tym przemysł, składy, magazyny, budownictwo, usługi transportowe, rzemiosło i inne usługi. Na terenie tym dopuszcza się lokalizację przedsięwzięć mogących znacząco oddziaływać na środowisko, a ponadto lokalizowanie infrastruktury technicznej, dróg dojazdowych, parkingów i garaży niezbędnych do obsługi obszaru. Szczegółowe warunki zabudowy określone są w obowiązującym miejscowym planie zagospodarowania przestrzennego</w:t>
      </w:r>
      <w:r w:rsidR="00364595" w:rsidRPr="00821A61">
        <w:rPr>
          <w:rFonts w:ascii="Times New Roman" w:hAnsi="Times New Roman" w:cs="Times New Roman"/>
          <w:sz w:val="24"/>
          <w:szCs w:val="24"/>
        </w:rPr>
        <w:t>,</w:t>
      </w:r>
      <w:r w:rsidRPr="00821A61">
        <w:rPr>
          <w:rFonts w:ascii="Times New Roman" w:hAnsi="Times New Roman" w:cs="Times New Roman"/>
          <w:sz w:val="24"/>
          <w:szCs w:val="24"/>
        </w:rPr>
        <w:t xml:space="preserve"> zatwierdzonym Uchwałą Rady Miejskiej w Łapach nr XIV/81/03 z dnia 31 października 2003 r.</w:t>
      </w:r>
      <w:r w:rsidR="00680DE2" w:rsidRPr="00821A61">
        <w:rPr>
          <w:rFonts w:ascii="Times New Roman" w:hAnsi="Times New Roman" w:cs="Times New Roman"/>
          <w:sz w:val="24"/>
          <w:szCs w:val="24"/>
        </w:rPr>
        <w:t>,</w:t>
      </w:r>
      <w:r w:rsidRPr="00821A61">
        <w:rPr>
          <w:rFonts w:ascii="Times New Roman" w:hAnsi="Times New Roman" w:cs="Times New Roman"/>
          <w:sz w:val="24"/>
          <w:szCs w:val="24"/>
        </w:rPr>
        <w:t xml:space="preserve"> (opublikowanego w Dz. Urz. Woj. Podlaskiego z dnia 19 listopada 2003 r. Nr 118, poz. 2197).</w:t>
      </w:r>
    </w:p>
    <w:p w14:paraId="2B2552E9" w14:textId="77777777" w:rsidR="007137E1" w:rsidRPr="00821A61" w:rsidRDefault="007137E1" w:rsidP="00821A61">
      <w:pPr>
        <w:pStyle w:val="Akapitzlist"/>
        <w:spacing w:after="0"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470F836" w14:textId="2BF63905" w:rsidR="009B5AA8" w:rsidRPr="00821A61" w:rsidRDefault="009B5AA8" w:rsidP="00821A61">
      <w:pPr>
        <w:pStyle w:val="Akapitzlist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1A61">
        <w:rPr>
          <w:rFonts w:ascii="Times New Roman" w:hAnsi="Times New Roman" w:cs="Times New Roman"/>
          <w:b/>
          <w:bCs/>
          <w:sz w:val="24"/>
          <w:szCs w:val="24"/>
        </w:rPr>
        <w:t xml:space="preserve">Informacje o warunkach gruntowych nieruchomości objętych postępowaniem przetargowym </w:t>
      </w:r>
      <w:r w:rsidR="00165756" w:rsidRPr="00821A61">
        <w:rPr>
          <w:rFonts w:ascii="Times New Roman" w:hAnsi="Times New Roman" w:cs="Times New Roman"/>
          <w:b/>
          <w:bCs/>
          <w:sz w:val="24"/>
          <w:szCs w:val="24"/>
        </w:rPr>
        <w:t xml:space="preserve">  przedstawiają s</w:t>
      </w:r>
      <w:r w:rsidRPr="00821A61">
        <w:rPr>
          <w:rFonts w:ascii="Times New Roman" w:hAnsi="Times New Roman" w:cs="Times New Roman"/>
          <w:b/>
          <w:bCs/>
          <w:sz w:val="24"/>
          <w:szCs w:val="24"/>
        </w:rPr>
        <w:t>prawozdania geotechniczne stanowiące załączniki do ogłoszenia:</w:t>
      </w:r>
    </w:p>
    <w:p w14:paraId="323F3F44" w14:textId="02A9705F" w:rsidR="00AE5C2D" w:rsidRPr="00821A61" w:rsidRDefault="00AE5C2D" w:rsidP="00821A61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B5AA8" w:rsidRPr="00821A61">
        <w:rPr>
          <w:rFonts w:ascii="Times New Roman" w:hAnsi="Times New Roman" w:cs="Times New Roman"/>
          <w:sz w:val="24"/>
          <w:szCs w:val="24"/>
        </w:rPr>
        <w:t xml:space="preserve">Załącznik nr 1 – Sprawozdanie geotechniczne z ustalenia warunków gruntowych </w:t>
      </w:r>
      <w:r w:rsidR="00134A36" w:rsidRPr="00821A61">
        <w:rPr>
          <w:rFonts w:ascii="Times New Roman" w:hAnsi="Times New Roman" w:cs="Times New Roman"/>
          <w:sz w:val="24"/>
          <w:szCs w:val="24"/>
        </w:rPr>
        <w:t>na działkach o nr 14/23, 14/24</w:t>
      </w:r>
      <w:r w:rsidRPr="00821A61">
        <w:rPr>
          <w:rFonts w:ascii="Times New Roman" w:hAnsi="Times New Roman" w:cs="Times New Roman"/>
          <w:sz w:val="24"/>
          <w:szCs w:val="24"/>
        </w:rPr>
        <w:t>.</w:t>
      </w:r>
    </w:p>
    <w:p w14:paraId="331102AE" w14:textId="3F6AE394" w:rsidR="009B5AA8" w:rsidRPr="00821A61" w:rsidRDefault="00AE5C2D" w:rsidP="00821A61">
      <w:pPr>
        <w:pStyle w:val="Akapitzlist"/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 xml:space="preserve"> </w:t>
      </w:r>
      <w:r w:rsidR="009B5AA8" w:rsidRPr="00821A61">
        <w:rPr>
          <w:rFonts w:ascii="Times New Roman" w:hAnsi="Times New Roman" w:cs="Times New Roman"/>
          <w:sz w:val="24"/>
          <w:szCs w:val="24"/>
        </w:rPr>
        <w:t>Załącznik nr 2 – wyciąg ze Sprawozdania geotechnicznego z punktowego rozpoznania warunków gruntowych  w granicach działek o nr 211/5 i 14/22.</w:t>
      </w:r>
    </w:p>
    <w:p w14:paraId="2BA8BC68" w14:textId="77777777" w:rsidR="007137E1" w:rsidRPr="00821A61" w:rsidRDefault="007137E1" w:rsidP="00821A61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D2B36" w14:textId="21EE3950" w:rsidR="000D586D" w:rsidRPr="00821A61" w:rsidRDefault="000D586D" w:rsidP="00821A61">
      <w:pPr>
        <w:pStyle w:val="Akapitzlist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A61">
        <w:rPr>
          <w:rFonts w:ascii="Times New Roman" w:hAnsi="Times New Roman" w:cs="Times New Roman"/>
          <w:b/>
          <w:bCs/>
          <w:sz w:val="24"/>
          <w:szCs w:val="24"/>
        </w:rPr>
        <w:t>Przetarg składa się z części jawnej i niejawnej.</w:t>
      </w:r>
    </w:p>
    <w:p w14:paraId="48A29654" w14:textId="77777777" w:rsidR="00AE5C2D" w:rsidRPr="00821A61" w:rsidRDefault="00AE5C2D" w:rsidP="00821A61">
      <w:pPr>
        <w:pStyle w:val="Akapitzlist"/>
        <w:spacing w:after="0" w:line="288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6F111" w14:textId="47381E46" w:rsidR="00A67CCC" w:rsidRPr="00821A61" w:rsidRDefault="00A67CCC" w:rsidP="00821A61">
      <w:pPr>
        <w:pStyle w:val="Akapitzlist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b/>
          <w:sz w:val="24"/>
          <w:szCs w:val="24"/>
        </w:rPr>
        <w:t>Warunki uczestnictwa w przetargu.</w:t>
      </w:r>
    </w:p>
    <w:p w14:paraId="47FFB960" w14:textId="35B86888" w:rsidR="00AE5C2D" w:rsidRPr="00821A61" w:rsidRDefault="00730FAF" w:rsidP="00821A61">
      <w:p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 xml:space="preserve">4.1. </w:t>
      </w:r>
      <w:r w:rsidR="00807299" w:rsidRPr="00821A61">
        <w:rPr>
          <w:rFonts w:ascii="Times New Roman" w:hAnsi="Times New Roman" w:cs="Times New Roman"/>
          <w:sz w:val="24"/>
          <w:szCs w:val="24"/>
        </w:rPr>
        <w:t>Warunkiem udziału w przetargu</w:t>
      </w:r>
      <w:r w:rsidR="00680DE2" w:rsidRPr="00821A61">
        <w:rPr>
          <w:rFonts w:ascii="Times New Roman" w:hAnsi="Times New Roman" w:cs="Times New Roman"/>
          <w:sz w:val="24"/>
          <w:szCs w:val="24"/>
        </w:rPr>
        <w:t xml:space="preserve"> jest</w:t>
      </w:r>
      <w:r w:rsidR="003A4311" w:rsidRPr="00821A61">
        <w:rPr>
          <w:rFonts w:ascii="Times New Roman" w:hAnsi="Times New Roman" w:cs="Times New Roman"/>
          <w:sz w:val="24"/>
          <w:szCs w:val="24"/>
        </w:rPr>
        <w:t xml:space="preserve"> złożenie w terminie do </w:t>
      </w:r>
      <w:r w:rsidR="003A4311" w:rsidRPr="00821A61">
        <w:rPr>
          <w:rFonts w:ascii="Times New Roman" w:hAnsi="Times New Roman" w:cs="Times New Roman"/>
          <w:b/>
          <w:bCs/>
          <w:sz w:val="24"/>
          <w:szCs w:val="24"/>
        </w:rPr>
        <w:t>28 stycznia 2025 roku do godz. 15:30</w:t>
      </w:r>
      <w:r w:rsidR="003A4311" w:rsidRPr="00821A61">
        <w:rPr>
          <w:rFonts w:ascii="Times New Roman" w:hAnsi="Times New Roman" w:cs="Times New Roman"/>
          <w:sz w:val="24"/>
          <w:szCs w:val="24"/>
        </w:rPr>
        <w:t xml:space="preserve"> do </w:t>
      </w:r>
      <w:r w:rsidRPr="00821A61">
        <w:rPr>
          <w:rFonts w:ascii="Times New Roman" w:hAnsi="Times New Roman" w:cs="Times New Roman"/>
          <w:sz w:val="24"/>
          <w:szCs w:val="24"/>
        </w:rPr>
        <w:t xml:space="preserve"> </w:t>
      </w:r>
      <w:r w:rsidR="003A4311" w:rsidRPr="00821A61">
        <w:rPr>
          <w:rFonts w:ascii="Times New Roman" w:hAnsi="Times New Roman" w:cs="Times New Roman"/>
          <w:sz w:val="24"/>
          <w:szCs w:val="24"/>
        </w:rPr>
        <w:t>sekretariatu Urzędu Miejskiego w  Łapach, ul. gen. Wł. Sikorskiego   24, 18-100 Łapy</w:t>
      </w:r>
      <w:r w:rsidR="00130484" w:rsidRPr="00821A61">
        <w:rPr>
          <w:rFonts w:ascii="Times New Roman" w:hAnsi="Times New Roman" w:cs="Times New Roman"/>
          <w:sz w:val="24"/>
          <w:szCs w:val="24"/>
        </w:rPr>
        <w:t xml:space="preserve">  oferty na zakup nieruchomości (załącznik nr 3)</w:t>
      </w:r>
      <w:r w:rsidR="003A4311" w:rsidRPr="00821A61">
        <w:rPr>
          <w:rFonts w:ascii="Times New Roman" w:hAnsi="Times New Roman" w:cs="Times New Roman"/>
          <w:sz w:val="24"/>
          <w:szCs w:val="24"/>
        </w:rPr>
        <w:t xml:space="preserve">  zawierającej oświadczenie, że oferent zapoznał się z warunkami przetargu zawartymi w ogłoszeniu. Do oferty należy dołączyć kopię dowodu wpłaty</w:t>
      </w:r>
      <w:r w:rsidR="00165756" w:rsidRPr="00821A61">
        <w:rPr>
          <w:rFonts w:ascii="Times New Roman" w:hAnsi="Times New Roman" w:cs="Times New Roman"/>
          <w:sz w:val="24"/>
          <w:szCs w:val="24"/>
        </w:rPr>
        <w:t xml:space="preserve"> wadium w pieniądzu przelewem na konto Urzędu Miejskiego w Łapach nr 35 1020 1332 0000 1102 0957 1573 Za datę wniesienia wadium uważa się </w:t>
      </w:r>
      <w:r w:rsidR="00165756" w:rsidRPr="00821A61">
        <w:rPr>
          <w:rFonts w:ascii="Times New Roman" w:hAnsi="Times New Roman" w:cs="Times New Roman"/>
          <w:sz w:val="24"/>
          <w:szCs w:val="24"/>
          <w:u w:val="single"/>
        </w:rPr>
        <w:t>datę wpływu środków finansowych na konto Urzędu Miejskiego.</w:t>
      </w:r>
      <w:r w:rsidRPr="00821A61">
        <w:rPr>
          <w:rFonts w:ascii="Times New Roman" w:hAnsi="Times New Roman" w:cs="Times New Roman"/>
          <w:sz w:val="24"/>
          <w:szCs w:val="24"/>
        </w:rPr>
        <w:t xml:space="preserve"> </w:t>
      </w:r>
      <w:r w:rsidR="003A4311" w:rsidRPr="00821A61">
        <w:rPr>
          <w:rFonts w:ascii="Times New Roman" w:hAnsi="Times New Roman" w:cs="Times New Roman"/>
          <w:sz w:val="24"/>
          <w:szCs w:val="24"/>
        </w:rPr>
        <w:t>Oferta wraz z dowodem wpłaty wadium powinny być umieszczone w zaklejonej kopercie z napisem „OFERTA PRZETARG PODSTREFA ŁAPY</w:t>
      </w:r>
      <w:r w:rsidR="007137E1" w:rsidRPr="00821A61">
        <w:rPr>
          <w:rFonts w:ascii="Times New Roman" w:hAnsi="Times New Roman" w:cs="Times New Roman"/>
          <w:sz w:val="24"/>
          <w:szCs w:val="24"/>
        </w:rPr>
        <w:t>”</w:t>
      </w:r>
      <w:r w:rsidR="00AE5C2D" w:rsidRPr="00821A61">
        <w:rPr>
          <w:rFonts w:ascii="Times New Roman" w:hAnsi="Times New Roman" w:cs="Times New Roman"/>
          <w:sz w:val="24"/>
          <w:szCs w:val="24"/>
        </w:rPr>
        <w:t>.</w:t>
      </w:r>
    </w:p>
    <w:p w14:paraId="62289006" w14:textId="47F1AA6E" w:rsidR="00AE5C2D" w:rsidRPr="00821A61" w:rsidRDefault="00AE5C2D" w:rsidP="00821A61">
      <w:p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 xml:space="preserve">4.2. </w:t>
      </w:r>
      <w:r w:rsidR="00730FAF" w:rsidRPr="00821A61">
        <w:rPr>
          <w:rFonts w:ascii="Times New Roman" w:hAnsi="Times New Roman" w:cs="Times New Roman"/>
          <w:sz w:val="24"/>
          <w:szCs w:val="24"/>
        </w:rPr>
        <w:t xml:space="preserve">Część jawna przetargu, tj. otwarcie ofert, odbędzie się w obecności oferentów </w:t>
      </w:r>
      <w:r w:rsidR="00730FAF" w:rsidRPr="00821A61">
        <w:rPr>
          <w:rFonts w:ascii="Times New Roman" w:hAnsi="Times New Roman" w:cs="Times New Roman"/>
          <w:b/>
          <w:bCs/>
          <w:sz w:val="24"/>
          <w:szCs w:val="24"/>
        </w:rPr>
        <w:t xml:space="preserve">31 stycznia  </w:t>
      </w:r>
      <w:r w:rsidR="00730FAF" w:rsidRPr="00821A61">
        <w:rPr>
          <w:rFonts w:ascii="Times New Roman" w:hAnsi="Times New Roman" w:cs="Times New Roman"/>
          <w:b/>
          <w:sz w:val="24"/>
          <w:szCs w:val="24"/>
        </w:rPr>
        <w:t>202</w:t>
      </w:r>
      <w:r w:rsidR="007137E1" w:rsidRPr="00821A61">
        <w:rPr>
          <w:rFonts w:ascii="Times New Roman" w:hAnsi="Times New Roman" w:cs="Times New Roman"/>
          <w:b/>
          <w:sz w:val="24"/>
          <w:szCs w:val="24"/>
        </w:rPr>
        <w:t>5</w:t>
      </w:r>
      <w:r w:rsidR="00730FAF" w:rsidRPr="00821A61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821A61">
        <w:rPr>
          <w:rFonts w:ascii="Times New Roman" w:hAnsi="Times New Roman" w:cs="Times New Roman"/>
          <w:sz w:val="24"/>
          <w:szCs w:val="24"/>
        </w:rPr>
        <w:t xml:space="preserve"> </w:t>
      </w:r>
      <w:r w:rsidR="00730FAF" w:rsidRPr="00821A61">
        <w:rPr>
          <w:rFonts w:ascii="Times New Roman" w:hAnsi="Times New Roman" w:cs="Times New Roman"/>
          <w:b/>
          <w:sz w:val="24"/>
          <w:szCs w:val="24"/>
        </w:rPr>
        <w:t>o godz. 10:00</w:t>
      </w:r>
      <w:r w:rsidR="00730FAF" w:rsidRPr="00821A61">
        <w:rPr>
          <w:rFonts w:ascii="Times New Roman" w:hAnsi="Times New Roman" w:cs="Times New Roman"/>
          <w:sz w:val="24"/>
          <w:szCs w:val="24"/>
        </w:rPr>
        <w:t xml:space="preserve"> w siedzibie Ośrodka Przedsiębiorczości w Łapach przy ul. gen. W. Sikorskiego 22A. </w:t>
      </w:r>
    </w:p>
    <w:p w14:paraId="5C290555" w14:textId="7A1EBBFB" w:rsidR="00AE5C2D" w:rsidRPr="00821A61" w:rsidRDefault="00AE5C2D" w:rsidP="00821A61">
      <w:p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4.3.</w:t>
      </w:r>
      <w:r w:rsidR="00730FAF" w:rsidRPr="00821A61">
        <w:rPr>
          <w:rFonts w:ascii="Times New Roman" w:hAnsi="Times New Roman" w:cs="Times New Roman"/>
          <w:sz w:val="24"/>
          <w:szCs w:val="24"/>
        </w:rPr>
        <w:t xml:space="preserve">W części niejawnej Komisja przetargowa </w:t>
      </w:r>
      <w:r w:rsidR="006A35D7" w:rsidRPr="00821A61">
        <w:rPr>
          <w:rFonts w:ascii="Times New Roman" w:hAnsi="Times New Roman" w:cs="Times New Roman"/>
          <w:sz w:val="24"/>
          <w:szCs w:val="24"/>
        </w:rPr>
        <w:t xml:space="preserve">dokona analizy ofert oraz wybierze </w:t>
      </w:r>
      <w:r w:rsidR="00730FAF" w:rsidRPr="00821A61">
        <w:rPr>
          <w:rFonts w:ascii="Times New Roman" w:hAnsi="Times New Roman" w:cs="Times New Roman"/>
          <w:sz w:val="24"/>
          <w:szCs w:val="24"/>
        </w:rPr>
        <w:t xml:space="preserve"> </w:t>
      </w:r>
      <w:r w:rsidR="006A35D7" w:rsidRPr="00821A61">
        <w:rPr>
          <w:rFonts w:ascii="Times New Roman" w:hAnsi="Times New Roman" w:cs="Times New Roman"/>
          <w:sz w:val="24"/>
          <w:szCs w:val="24"/>
        </w:rPr>
        <w:t xml:space="preserve">najkorzystniejszą z nich. </w:t>
      </w:r>
    </w:p>
    <w:p w14:paraId="05C686C0" w14:textId="7C5B0128" w:rsidR="00880B84" w:rsidRPr="00821A61" w:rsidRDefault="00AE5C2D" w:rsidP="00821A61">
      <w:p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 xml:space="preserve">4.4. </w:t>
      </w:r>
      <w:r w:rsidR="00880B84" w:rsidRPr="00821A61">
        <w:rPr>
          <w:rFonts w:ascii="Times New Roman" w:hAnsi="Times New Roman" w:cs="Times New Roman"/>
          <w:sz w:val="24"/>
          <w:szCs w:val="24"/>
        </w:rPr>
        <w:t>Komisja zastrzega sobie prawo do zamknięcia przetargu bez wybrania którejkolwiek z ofert.</w:t>
      </w:r>
    </w:p>
    <w:p w14:paraId="218EB95F" w14:textId="179F4860" w:rsidR="00E26BD6" w:rsidRPr="00821A61" w:rsidRDefault="00E26BD6" w:rsidP="00821A61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AB4D7" w14:textId="35896BB0" w:rsidR="00715898" w:rsidRPr="00821A61" w:rsidRDefault="00807299" w:rsidP="00821A61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b/>
          <w:sz w:val="24"/>
          <w:szCs w:val="24"/>
        </w:rPr>
        <w:t>Pozostałe informacje</w:t>
      </w:r>
    </w:p>
    <w:p w14:paraId="20180DFA" w14:textId="77777777" w:rsidR="00880B84" w:rsidRPr="00821A61" w:rsidRDefault="00807299" w:rsidP="00F100C0">
      <w:pPr>
        <w:pStyle w:val="Akapitzlist"/>
        <w:numPr>
          <w:ilvl w:val="1"/>
          <w:numId w:val="15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Uczestnik przetargu, który wpłacił wadium i został zakwalifikowany do przetargu</w:t>
      </w:r>
      <w:r w:rsidR="00680DE2" w:rsidRPr="00821A61">
        <w:rPr>
          <w:rFonts w:ascii="Times New Roman" w:hAnsi="Times New Roman" w:cs="Times New Roman"/>
          <w:sz w:val="24"/>
          <w:szCs w:val="24"/>
        </w:rPr>
        <w:t>,</w:t>
      </w:r>
      <w:r w:rsidRPr="00821A61">
        <w:rPr>
          <w:rFonts w:ascii="Times New Roman" w:hAnsi="Times New Roman" w:cs="Times New Roman"/>
          <w:sz w:val="24"/>
          <w:szCs w:val="24"/>
        </w:rPr>
        <w:t xml:space="preserve"> uczestniczy </w:t>
      </w:r>
      <w:r w:rsidRPr="00821A61">
        <w:rPr>
          <w:rFonts w:ascii="Times New Roman" w:hAnsi="Times New Roman" w:cs="Times New Roman"/>
          <w:sz w:val="24"/>
          <w:szCs w:val="24"/>
        </w:rPr>
        <w:br/>
        <w:t>w przetargu osobiście lub przez pe</w:t>
      </w:r>
      <w:r w:rsidR="00680DE2" w:rsidRPr="00821A61">
        <w:rPr>
          <w:rFonts w:ascii="Times New Roman" w:hAnsi="Times New Roman" w:cs="Times New Roman"/>
          <w:sz w:val="24"/>
          <w:szCs w:val="24"/>
        </w:rPr>
        <w:t>łnomocnika do tego uprawnionego. W</w:t>
      </w:r>
      <w:r w:rsidRPr="00821A61">
        <w:rPr>
          <w:rFonts w:ascii="Times New Roman" w:hAnsi="Times New Roman" w:cs="Times New Roman"/>
          <w:sz w:val="24"/>
          <w:szCs w:val="24"/>
        </w:rPr>
        <w:t xml:space="preserve"> przypadku osób prawnych uczestniczą osoby do tego umocowane. Osoby uczestniczące w przetargu przedkładają komisji przetargowej dowód wp</w:t>
      </w:r>
      <w:r w:rsidR="00212C22" w:rsidRPr="00821A61">
        <w:rPr>
          <w:rFonts w:ascii="Times New Roman" w:hAnsi="Times New Roman" w:cs="Times New Roman"/>
          <w:sz w:val="24"/>
          <w:szCs w:val="24"/>
        </w:rPr>
        <w:t>łaty wadium i dowód tożsamości. F</w:t>
      </w:r>
      <w:r w:rsidRPr="00821A61">
        <w:rPr>
          <w:rFonts w:ascii="Times New Roman" w:hAnsi="Times New Roman" w:cs="Times New Roman"/>
          <w:sz w:val="24"/>
          <w:szCs w:val="24"/>
        </w:rPr>
        <w:t>irmy lub spółki dodatkowo aktualny odpis KRS lub dokument potwierdzający wpis do rejestru działalności gospodarczej.</w:t>
      </w:r>
    </w:p>
    <w:p w14:paraId="3B2BD9AC" w14:textId="7D5B9ECD" w:rsidR="00F70B77" w:rsidRPr="00821A61" w:rsidRDefault="00807299" w:rsidP="00F100C0">
      <w:pPr>
        <w:pStyle w:val="Akapitzlist"/>
        <w:numPr>
          <w:ilvl w:val="1"/>
          <w:numId w:val="15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Wygrywającemu przetarg wadium zalicza się na poczet nabycia nieruchomości.</w:t>
      </w:r>
    </w:p>
    <w:p w14:paraId="206CF679" w14:textId="4D261DA0" w:rsidR="00F70B77" w:rsidRPr="00821A61" w:rsidRDefault="00693901" w:rsidP="00F100C0">
      <w:pPr>
        <w:pStyle w:val="Akapitzlist"/>
        <w:numPr>
          <w:ilvl w:val="1"/>
          <w:numId w:val="15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Jeżeli osoba ustalona jako Nabywca nieruchomości nie przystąpi bez usprawiedliwienia do zawarcia umowy w m</w:t>
      </w:r>
      <w:r w:rsidR="0053762F" w:rsidRPr="00821A61">
        <w:rPr>
          <w:rFonts w:ascii="Times New Roman" w:hAnsi="Times New Roman" w:cs="Times New Roman"/>
          <w:sz w:val="24"/>
          <w:szCs w:val="24"/>
        </w:rPr>
        <w:t>iejscu i w terminie podanych przez</w:t>
      </w:r>
      <w:r w:rsidRPr="00821A61">
        <w:rPr>
          <w:rFonts w:ascii="Times New Roman" w:hAnsi="Times New Roman" w:cs="Times New Roman"/>
          <w:sz w:val="24"/>
          <w:szCs w:val="24"/>
        </w:rPr>
        <w:t xml:space="preserve"> Burmistrza Łap, organizator przetargu może odstąpić od zawarcia umowy, a wpłacone wadium nie podlega zwrotowi.</w:t>
      </w:r>
    </w:p>
    <w:p w14:paraId="36487A63" w14:textId="2F01600B" w:rsidR="00F70B77" w:rsidRPr="00821A61" w:rsidRDefault="009C4CBA" w:rsidP="00F100C0">
      <w:pPr>
        <w:pStyle w:val="Akapitzlist"/>
        <w:numPr>
          <w:ilvl w:val="1"/>
          <w:numId w:val="15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Pozostałą czę</w:t>
      </w:r>
      <w:r w:rsidR="00807299" w:rsidRPr="00821A61">
        <w:rPr>
          <w:rFonts w:ascii="Times New Roman" w:hAnsi="Times New Roman" w:cs="Times New Roman"/>
          <w:sz w:val="24"/>
          <w:szCs w:val="24"/>
        </w:rPr>
        <w:t xml:space="preserve">ść </w:t>
      </w:r>
      <w:r w:rsidR="007B33B5" w:rsidRPr="00821A61">
        <w:rPr>
          <w:rFonts w:ascii="Times New Roman" w:hAnsi="Times New Roman" w:cs="Times New Roman"/>
          <w:sz w:val="24"/>
          <w:szCs w:val="24"/>
        </w:rPr>
        <w:t>oferowanej ceny</w:t>
      </w:r>
      <w:r w:rsidR="00212C22" w:rsidRPr="00821A61">
        <w:rPr>
          <w:rFonts w:ascii="Times New Roman" w:hAnsi="Times New Roman" w:cs="Times New Roman"/>
          <w:sz w:val="24"/>
          <w:szCs w:val="24"/>
        </w:rPr>
        <w:t xml:space="preserve"> za nieruchomość N</w:t>
      </w:r>
      <w:r w:rsidR="00807299" w:rsidRPr="00821A61">
        <w:rPr>
          <w:rFonts w:ascii="Times New Roman" w:hAnsi="Times New Roman" w:cs="Times New Roman"/>
          <w:sz w:val="24"/>
          <w:szCs w:val="24"/>
        </w:rPr>
        <w:t>abywca zobowiązany jest wnieść przed zawarciem umowy notarialnej.</w:t>
      </w:r>
    </w:p>
    <w:p w14:paraId="718E2AFB" w14:textId="77777777" w:rsidR="007137E1" w:rsidRPr="00821A61" w:rsidRDefault="00807299" w:rsidP="00F100C0">
      <w:pPr>
        <w:pStyle w:val="Akapitzlist"/>
        <w:numPr>
          <w:ilvl w:val="1"/>
          <w:numId w:val="15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lastRenderedPageBreak/>
        <w:t>Pozostałym osobom wadium zwraca się niezwłocznie, jednak nie później niż przed upływem 3 dni po odwołaniu, zamknięciu, unieważnieniu lub zakończeniu przetargu z wynikiem negatywnym.</w:t>
      </w:r>
    </w:p>
    <w:p w14:paraId="5C49EAD3" w14:textId="13C33194" w:rsidR="007137E1" w:rsidRPr="00821A61" w:rsidRDefault="007137E1" w:rsidP="00F100C0">
      <w:pPr>
        <w:pStyle w:val="Akapitzlist"/>
        <w:numPr>
          <w:ilvl w:val="1"/>
          <w:numId w:val="15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bCs/>
          <w:sz w:val="24"/>
          <w:szCs w:val="24"/>
        </w:rPr>
        <w:t xml:space="preserve">Dodatkowe warunki przetargu, </w:t>
      </w:r>
      <w:r w:rsidR="00A141E5">
        <w:rPr>
          <w:rFonts w:ascii="Times New Roman" w:hAnsi="Times New Roman" w:cs="Times New Roman"/>
          <w:bCs/>
          <w:sz w:val="24"/>
          <w:szCs w:val="24"/>
        </w:rPr>
        <w:t>s</w:t>
      </w:r>
      <w:bookmarkStart w:id="0" w:name="_GoBack"/>
      <w:bookmarkEnd w:id="0"/>
      <w:r w:rsidRPr="00821A61">
        <w:rPr>
          <w:rFonts w:ascii="Times New Roman" w:hAnsi="Times New Roman" w:cs="Times New Roman"/>
          <w:bCs/>
          <w:sz w:val="24"/>
          <w:szCs w:val="24"/>
        </w:rPr>
        <w:t>prawozdania geotechniczne (załącznik nr 1 i załącznik nr 2) oraz wzór oferty (załącznik nr 3) dostępne są na stronie internetowej Biuletynu Informacji Publicznej Urzędu Miejskiego w Łapach lub w Ośrodku Przedsiębiorczości w Łapach przy ul. gen. Wł. Sikorskiego 22A, 18-100 Łapy.</w:t>
      </w:r>
    </w:p>
    <w:p w14:paraId="50483A13" w14:textId="275C3C1A" w:rsidR="00F70B77" w:rsidRPr="00821A61" w:rsidRDefault="00693901" w:rsidP="00F100C0">
      <w:pPr>
        <w:pStyle w:val="Akapitzlist"/>
        <w:numPr>
          <w:ilvl w:val="1"/>
          <w:numId w:val="15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Agencji Rozwoju Przemysłu Spółka Akcyjna jako Zarządzającemu Tarnobrzeską Specjalną Strefą Ekonomiczną EURO-PARK WISŁOSAN przysługuje prawo pierwokupu</w:t>
      </w:r>
      <w:r w:rsidRPr="0082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A61">
        <w:rPr>
          <w:rFonts w:ascii="Times New Roman" w:hAnsi="Times New Roman" w:cs="Times New Roman"/>
          <w:sz w:val="24"/>
          <w:szCs w:val="24"/>
        </w:rPr>
        <w:t xml:space="preserve">na podstawie art. 8 ust. 2 ustawy z dnia 21 sierpnia 1997 r. o specjalnych strefach ekonomicznych </w:t>
      </w:r>
      <w:r w:rsidR="004E6C91" w:rsidRPr="00821A61">
        <w:rPr>
          <w:rFonts w:ascii="Times New Roman" w:hAnsi="Times New Roman" w:cs="Times New Roman"/>
          <w:sz w:val="24"/>
          <w:szCs w:val="24"/>
        </w:rPr>
        <w:t xml:space="preserve">(t.j. Dz. U. z 2020 r. poz. 1670 z późn. zm.). </w:t>
      </w:r>
      <w:r w:rsidRPr="00821A61">
        <w:rPr>
          <w:rFonts w:ascii="Times New Roman" w:hAnsi="Times New Roman" w:cs="Times New Roman"/>
          <w:sz w:val="24"/>
          <w:szCs w:val="24"/>
        </w:rPr>
        <w:t>W związku z tym z Nabywcą prawa użytkowania wieczystego wyłonionego w przetargu zostanie zawarta warunkowa u</w:t>
      </w:r>
      <w:r w:rsidR="00364595" w:rsidRPr="00821A61">
        <w:rPr>
          <w:rFonts w:ascii="Times New Roman" w:hAnsi="Times New Roman" w:cs="Times New Roman"/>
          <w:sz w:val="24"/>
          <w:szCs w:val="24"/>
        </w:rPr>
        <w:t>mowa sprzedaży. W przypadku nie</w:t>
      </w:r>
      <w:r w:rsidRPr="00821A61">
        <w:rPr>
          <w:rFonts w:ascii="Times New Roman" w:hAnsi="Times New Roman" w:cs="Times New Roman"/>
          <w:sz w:val="24"/>
          <w:szCs w:val="24"/>
        </w:rPr>
        <w:t>skorzystania przez Zarządzającego strefą z przysługującego prawa pierwokupu, zostanie zawarta umowa przeniesienia prawa użytkowania wieczystego nieruchomości.</w:t>
      </w:r>
    </w:p>
    <w:p w14:paraId="1C7EF4F0" w14:textId="0D97DACD" w:rsidR="00F70B77" w:rsidRPr="00821A61" w:rsidRDefault="00693901" w:rsidP="00F100C0">
      <w:pPr>
        <w:pStyle w:val="Akapitzlist"/>
        <w:numPr>
          <w:ilvl w:val="1"/>
          <w:numId w:val="15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</w:rPr>
        <w:t>Nabycie prawa użytkowania wieczystego nieruchomości związane jest z obowiązkiem uiszczania opłat rocznych z tytułu użytkowania wieczystego gruntu</w:t>
      </w:r>
      <w:r w:rsidR="00364595" w:rsidRPr="00821A61">
        <w:rPr>
          <w:rFonts w:ascii="Times New Roman" w:hAnsi="Times New Roman" w:cs="Times New Roman"/>
          <w:sz w:val="24"/>
          <w:szCs w:val="24"/>
        </w:rPr>
        <w:t>,</w:t>
      </w:r>
      <w:r w:rsidRPr="00821A61">
        <w:rPr>
          <w:rFonts w:ascii="Times New Roman" w:hAnsi="Times New Roman" w:cs="Times New Roman"/>
          <w:sz w:val="24"/>
          <w:szCs w:val="24"/>
        </w:rPr>
        <w:t xml:space="preserve"> na rzecz właściciela (Skarb Państwa</w:t>
      </w:r>
      <w:r w:rsidR="009329A0" w:rsidRPr="00821A61">
        <w:rPr>
          <w:rFonts w:ascii="Times New Roman" w:hAnsi="Times New Roman" w:cs="Times New Roman"/>
          <w:sz w:val="24"/>
          <w:szCs w:val="24"/>
        </w:rPr>
        <w:t>)</w:t>
      </w:r>
      <w:r w:rsidRPr="00821A61">
        <w:rPr>
          <w:rFonts w:ascii="Times New Roman" w:hAnsi="Times New Roman" w:cs="Times New Roman"/>
          <w:sz w:val="24"/>
          <w:szCs w:val="24"/>
        </w:rPr>
        <w:t>. Nabywca zobowiązany będzie do proporcjonalnego zwrotu części wniesionej opłaty za u</w:t>
      </w:r>
      <w:r w:rsidR="00212C22" w:rsidRPr="00821A61">
        <w:rPr>
          <w:rFonts w:ascii="Times New Roman" w:hAnsi="Times New Roman" w:cs="Times New Roman"/>
          <w:sz w:val="24"/>
          <w:szCs w:val="24"/>
        </w:rPr>
        <w:t>żytkowanie wieczyste za 202</w:t>
      </w:r>
      <w:r w:rsidR="007137E1" w:rsidRPr="00821A61">
        <w:rPr>
          <w:rFonts w:ascii="Times New Roman" w:hAnsi="Times New Roman" w:cs="Times New Roman"/>
          <w:sz w:val="24"/>
          <w:szCs w:val="24"/>
        </w:rPr>
        <w:t>5</w:t>
      </w:r>
      <w:r w:rsidR="00212C22" w:rsidRPr="00821A61">
        <w:rPr>
          <w:rFonts w:ascii="Times New Roman" w:hAnsi="Times New Roman" w:cs="Times New Roman"/>
          <w:sz w:val="24"/>
          <w:szCs w:val="24"/>
        </w:rPr>
        <w:t xml:space="preserve"> r</w:t>
      </w:r>
      <w:r w:rsidRPr="00821A61">
        <w:rPr>
          <w:rFonts w:ascii="Times New Roman" w:hAnsi="Times New Roman" w:cs="Times New Roman"/>
          <w:sz w:val="24"/>
          <w:szCs w:val="24"/>
        </w:rPr>
        <w:t>. Obowiązek zwrotu obejmuje okres od dnia notarialnej umowy sprzedaży.</w:t>
      </w:r>
      <w:r w:rsidR="00F70B77" w:rsidRPr="00821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AE0D1" w14:textId="77777777" w:rsidR="00F100C0" w:rsidRPr="00F100C0" w:rsidRDefault="00693901" w:rsidP="00F100C0">
      <w:pPr>
        <w:pStyle w:val="Akapitzlist"/>
        <w:numPr>
          <w:ilvl w:val="1"/>
          <w:numId w:val="15"/>
        </w:numPr>
        <w:spacing w:after="0" w:line="288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61">
        <w:rPr>
          <w:rFonts w:ascii="Times New Roman" w:hAnsi="Times New Roman" w:cs="Times New Roman"/>
          <w:sz w:val="24"/>
          <w:szCs w:val="24"/>
          <w:shd w:val="clear" w:color="auto" w:fill="FFFFFF"/>
        </w:rPr>
        <w:t>Koszty notarialne i wieczysto-księgowe ponosi Nabywca.</w:t>
      </w:r>
    </w:p>
    <w:p w14:paraId="56065D26" w14:textId="77777777" w:rsidR="00F100C0" w:rsidRPr="00F100C0" w:rsidRDefault="005629F5" w:rsidP="00F100C0">
      <w:pPr>
        <w:pStyle w:val="Akapitzlist"/>
        <w:numPr>
          <w:ilvl w:val="1"/>
          <w:numId w:val="1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0C0">
        <w:rPr>
          <w:rFonts w:ascii="Times New Roman" w:hAnsi="Times New Roman" w:cs="Times New Roman"/>
          <w:sz w:val="24"/>
          <w:szCs w:val="24"/>
        </w:rPr>
        <w:t xml:space="preserve">Przetarg zostanie przeprowadzony na podstawie ustawy o gospodarce nieruchomościami </w:t>
      </w:r>
      <w:r w:rsidR="00364595" w:rsidRPr="00F100C0">
        <w:rPr>
          <w:rFonts w:ascii="Times New Roman" w:hAnsi="Times New Roman" w:cs="Times New Roman"/>
          <w:sz w:val="24"/>
          <w:szCs w:val="24"/>
        </w:rPr>
        <w:t>(</w:t>
      </w:r>
      <w:r w:rsidR="00CD20D4" w:rsidRPr="00F100C0">
        <w:rPr>
          <w:rFonts w:ascii="Times New Roman" w:hAnsi="Times New Roman" w:cs="Times New Roman"/>
          <w:sz w:val="24"/>
          <w:szCs w:val="24"/>
        </w:rPr>
        <w:t>t.j. Dz. U. z 202</w:t>
      </w:r>
      <w:r w:rsidR="00261E1D" w:rsidRPr="00F100C0">
        <w:rPr>
          <w:rFonts w:ascii="Times New Roman" w:hAnsi="Times New Roman" w:cs="Times New Roman"/>
          <w:sz w:val="24"/>
          <w:szCs w:val="24"/>
        </w:rPr>
        <w:t>4</w:t>
      </w:r>
      <w:r w:rsidR="00E35F32" w:rsidRPr="00F100C0">
        <w:rPr>
          <w:rFonts w:ascii="Times New Roman" w:hAnsi="Times New Roman" w:cs="Times New Roman"/>
          <w:sz w:val="24"/>
          <w:szCs w:val="24"/>
        </w:rPr>
        <w:t xml:space="preserve"> r. poz. </w:t>
      </w:r>
      <w:r w:rsidR="00261E1D" w:rsidRPr="00F100C0">
        <w:rPr>
          <w:rFonts w:ascii="Times New Roman" w:hAnsi="Times New Roman" w:cs="Times New Roman"/>
          <w:sz w:val="24"/>
          <w:szCs w:val="24"/>
        </w:rPr>
        <w:t xml:space="preserve">1145 </w:t>
      </w:r>
      <w:r w:rsidRPr="00F100C0">
        <w:rPr>
          <w:rFonts w:ascii="Times New Roman" w:hAnsi="Times New Roman" w:cs="Times New Roman"/>
          <w:sz w:val="24"/>
          <w:szCs w:val="24"/>
        </w:rPr>
        <w:t xml:space="preserve">) oraz rozporządzenia Rady Ministrów z 14 września 2004 roku w sprawie sposobu i trybu przeprowadzania przetargów oraz rokowań na zbycie nieruchomości </w:t>
      </w:r>
      <w:r w:rsidR="00F0293F" w:rsidRPr="00F100C0">
        <w:rPr>
          <w:rFonts w:ascii="Times New Roman" w:hAnsi="Times New Roman" w:cs="Times New Roman"/>
          <w:sz w:val="24"/>
          <w:szCs w:val="24"/>
        </w:rPr>
        <w:t>(</w:t>
      </w:r>
      <w:bookmarkStart w:id="1" w:name="_Hlk121387620"/>
      <w:r w:rsidR="00CD20D4" w:rsidRPr="00F100C0">
        <w:rPr>
          <w:rFonts w:ascii="Times New Roman" w:hAnsi="Times New Roman" w:cs="Times New Roman"/>
          <w:sz w:val="24"/>
          <w:szCs w:val="24"/>
        </w:rPr>
        <w:t>t.j. Dz. U. z 2021 r. poz. 2213)</w:t>
      </w:r>
      <w:r w:rsidRPr="00F100C0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7ED6B34B" w14:textId="67843587" w:rsidR="005629F5" w:rsidRPr="00F100C0" w:rsidRDefault="005629F5" w:rsidP="00F100C0">
      <w:pPr>
        <w:pStyle w:val="Akapitzlist"/>
        <w:numPr>
          <w:ilvl w:val="1"/>
          <w:numId w:val="15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0C0">
        <w:rPr>
          <w:rFonts w:ascii="Times New Roman" w:hAnsi="Times New Roman" w:cs="Times New Roman"/>
          <w:sz w:val="24"/>
          <w:szCs w:val="24"/>
        </w:rPr>
        <w:t xml:space="preserve">Bliższych informacji można </w:t>
      </w:r>
      <w:r w:rsidR="00864F06" w:rsidRPr="00F100C0">
        <w:rPr>
          <w:rFonts w:ascii="Times New Roman" w:hAnsi="Times New Roman" w:cs="Times New Roman"/>
          <w:sz w:val="24"/>
          <w:szCs w:val="24"/>
        </w:rPr>
        <w:t>uzyskać</w:t>
      </w:r>
      <w:r w:rsidRPr="00F100C0">
        <w:rPr>
          <w:rFonts w:ascii="Times New Roman" w:hAnsi="Times New Roman" w:cs="Times New Roman"/>
          <w:sz w:val="24"/>
          <w:szCs w:val="24"/>
        </w:rPr>
        <w:t xml:space="preserve"> w Referacie Nieruchomości Urzędu Miejskiego w Łapach, telefonicznie 85 715 22 51 w. 30</w:t>
      </w:r>
      <w:r w:rsidR="00FD439B" w:rsidRPr="00F100C0">
        <w:rPr>
          <w:rFonts w:ascii="Times New Roman" w:hAnsi="Times New Roman" w:cs="Times New Roman"/>
          <w:sz w:val="24"/>
          <w:szCs w:val="24"/>
        </w:rPr>
        <w:t>2</w:t>
      </w:r>
      <w:r w:rsidRPr="00F100C0">
        <w:rPr>
          <w:rFonts w:ascii="Times New Roman" w:hAnsi="Times New Roman" w:cs="Times New Roman"/>
          <w:sz w:val="24"/>
          <w:szCs w:val="24"/>
        </w:rPr>
        <w:t>, 30</w:t>
      </w:r>
      <w:r w:rsidR="00FD439B" w:rsidRPr="00F100C0">
        <w:rPr>
          <w:rFonts w:ascii="Times New Roman" w:hAnsi="Times New Roman" w:cs="Times New Roman"/>
          <w:sz w:val="24"/>
          <w:szCs w:val="24"/>
        </w:rPr>
        <w:t>3</w:t>
      </w:r>
      <w:r w:rsidRPr="00F100C0">
        <w:rPr>
          <w:rFonts w:ascii="Times New Roman" w:hAnsi="Times New Roman" w:cs="Times New Roman"/>
          <w:sz w:val="24"/>
          <w:szCs w:val="24"/>
        </w:rPr>
        <w:t xml:space="preserve"> lub w Ośrodku Przedsiębiorczości w Łapach przy ul. </w:t>
      </w:r>
      <w:r w:rsidR="00212C22" w:rsidRPr="00F100C0">
        <w:rPr>
          <w:rFonts w:ascii="Times New Roman" w:hAnsi="Times New Roman" w:cs="Times New Roman"/>
          <w:sz w:val="24"/>
          <w:szCs w:val="24"/>
        </w:rPr>
        <w:t>gen. W</w:t>
      </w:r>
      <w:r w:rsidR="00364595" w:rsidRPr="00F100C0">
        <w:rPr>
          <w:rFonts w:ascii="Times New Roman" w:hAnsi="Times New Roman" w:cs="Times New Roman"/>
          <w:sz w:val="24"/>
          <w:szCs w:val="24"/>
        </w:rPr>
        <w:t>ł</w:t>
      </w:r>
      <w:r w:rsidR="00212C22" w:rsidRPr="00F100C0">
        <w:rPr>
          <w:rFonts w:ascii="Times New Roman" w:hAnsi="Times New Roman" w:cs="Times New Roman"/>
          <w:sz w:val="24"/>
          <w:szCs w:val="24"/>
        </w:rPr>
        <w:t xml:space="preserve">. </w:t>
      </w:r>
      <w:r w:rsidRPr="00F100C0">
        <w:rPr>
          <w:rFonts w:ascii="Times New Roman" w:hAnsi="Times New Roman" w:cs="Times New Roman"/>
          <w:sz w:val="24"/>
          <w:szCs w:val="24"/>
        </w:rPr>
        <w:t xml:space="preserve">Sikorskiego 22A, tel. 85 814 19 20. </w:t>
      </w:r>
    </w:p>
    <w:p w14:paraId="4CF42F32" w14:textId="77777777" w:rsidR="00D82EDE" w:rsidRPr="00821A61" w:rsidRDefault="00D82EDE" w:rsidP="00F100C0">
      <w:pPr>
        <w:pStyle w:val="Akapitzlist"/>
        <w:spacing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23FFC1F" w14:textId="77777777" w:rsidR="00D82EDE" w:rsidRPr="00821A61" w:rsidRDefault="00D82EDE" w:rsidP="00821A61">
      <w:pPr>
        <w:pStyle w:val="Akapitzlist"/>
        <w:spacing w:after="0" w:line="288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D82EDE" w:rsidRPr="00821A61" w:rsidSect="00277B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0F2D"/>
    <w:multiLevelType w:val="multilevel"/>
    <w:tmpl w:val="35541D9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52C64F7"/>
    <w:multiLevelType w:val="multilevel"/>
    <w:tmpl w:val="370082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7847"/>
    <w:multiLevelType w:val="hybridMultilevel"/>
    <w:tmpl w:val="07F0DA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C1B6831"/>
    <w:multiLevelType w:val="multilevel"/>
    <w:tmpl w:val="B4D29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</w:rPr>
    </w:lvl>
  </w:abstractNum>
  <w:abstractNum w:abstractNumId="4" w15:restartNumberingAfterBreak="0">
    <w:nsid w:val="22EB5348"/>
    <w:multiLevelType w:val="multilevel"/>
    <w:tmpl w:val="7F960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D45080"/>
    <w:multiLevelType w:val="multilevel"/>
    <w:tmpl w:val="2E549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6" w15:restartNumberingAfterBreak="0">
    <w:nsid w:val="28503143"/>
    <w:multiLevelType w:val="hybridMultilevel"/>
    <w:tmpl w:val="34A2B332"/>
    <w:lvl w:ilvl="0" w:tplc="9C12F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7BBD"/>
    <w:multiLevelType w:val="multilevel"/>
    <w:tmpl w:val="95648822"/>
    <w:lvl w:ilvl="0">
      <w:start w:val="37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D0AC7"/>
    <w:multiLevelType w:val="multilevel"/>
    <w:tmpl w:val="5792E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</w:rPr>
    </w:lvl>
  </w:abstractNum>
  <w:abstractNum w:abstractNumId="9" w15:restartNumberingAfterBreak="0">
    <w:nsid w:val="5B545E02"/>
    <w:multiLevelType w:val="multilevel"/>
    <w:tmpl w:val="973C6F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E2F0D7F"/>
    <w:multiLevelType w:val="hybridMultilevel"/>
    <w:tmpl w:val="D5E8A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3055E"/>
    <w:multiLevelType w:val="multilevel"/>
    <w:tmpl w:val="FA42445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6E700207"/>
    <w:multiLevelType w:val="multilevel"/>
    <w:tmpl w:val="C78CF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 w:val="0"/>
      </w:rPr>
    </w:lvl>
  </w:abstractNum>
  <w:abstractNum w:abstractNumId="13" w15:restartNumberingAfterBreak="0">
    <w:nsid w:val="73E72B59"/>
    <w:multiLevelType w:val="multilevel"/>
    <w:tmpl w:val="2E5496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14" w15:restartNumberingAfterBreak="0">
    <w:nsid w:val="7BFE258F"/>
    <w:multiLevelType w:val="multilevel"/>
    <w:tmpl w:val="4540F95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 Narrow" w:hAnsi="Arial Narrow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98"/>
    <w:rsid w:val="000578C6"/>
    <w:rsid w:val="0006191E"/>
    <w:rsid w:val="000C4480"/>
    <w:rsid w:val="000D586D"/>
    <w:rsid w:val="000E2A16"/>
    <w:rsid w:val="000E37F0"/>
    <w:rsid w:val="00130484"/>
    <w:rsid w:val="00134A36"/>
    <w:rsid w:val="00152643"/>
    <w:rsid w:val="00165756"/>
    <w:rsid w:val="00183961"/>
    <w:rsid w:val="001A6DB2"/>
    <w:rsid w:val="001F1547"/>
    <w:rsid w:val="00212C22"/>
    <w:rsid w:val="002567F6"/>
    <w:rsid w:val="00261E1D"/>
    <w:rsid w:val="00274624"/>
    <w:rsid w:val="00277B24"/>
    <w:rsid w:val="002A264C"/>
    <w:rsid w:val="002B2361"/>
    <w:rsid w:val="002C33C7"/>
    <w:rsid w:val="002E6C7A"/>
    <w:rsid w:val="002F6521"/>
    <w:rsid w:val="002F66C5"/>
    <w:rsid w:val="003043E0"/>
    <w:rsid w:val="003340BA"/>
    <w:rsid w:val="00364595"/>
    <w:rsid w:val="003908AD"/>
    <w:rsid w:val="003A4311"/>
    <w:rsid w:val="003B2025"/>
    <w:rsid w:val="003B2696"/>
    <w:rsid w:val="003B3613"/>
    <w:rsid w:val="003C6F5B"/>
    <w:rsid w:val="003E4C8D"/>
    <w:rsid w:val="00410CEA"/>
    <w:rsid w:val="004601DB"/>
    <w:rsid w:val="00460C7E"/>
    <w:rsid w:val="00467162"/>
    <w:rsid w:val="004D4272"/>
    <w:rsid w:val="004E6C91"/>
    <w:rsid w:val="00510577"/>
    <w:rsid w:val="0053762F"/>
    <w:rsid w:val="005444C4"/>
    <w:rsid w:val="00547F7F"/>
    <w:rsid w:val="005629F5"/>
    <w:rsid w:val="0059738B"/>
    <w:rsid w:val="005E6C7D"/>
    <w:rsid w:val="005F1E0F"/>
    <w:rsid w:val="00600AC3"/>
    <w:rsid w:val="00612F9D"/>
    <w:rsid w:val="006626D7"/>
    <w:rsid w:val="0067285F"/>
    <w:rsid w:val="00680DE2"/>
    <w:rsid w:val="00685061"/>
    <w:rsid w:val="00693901"/>
    <w:rsid w:val="006A35D7"/>
    <w:rsid w:val="006F28E9"/>
    <w:rsid w:val="007137E1"/>
    <w:rsid w:val="00715898"/>
    <w:rsid w:val="00720BD2"/>
    <w:rsid w:val="00730FAF"/>
    <w:rsid w:val="007A014E"/>
    <w:rsid w:val="007B0D34"/>
    <w:rsid w:val="007B33B5"/>
    <w:rsid w:val="007F0818"/>
    <w:rsid w:val="00807299"/>
    <w:rsid w:val="00810199"/>
    <w:rsid w:val="00821A61"/>
    <w:rsid w:val="008446A0"/>
    <w:rsid w:val="00864F06"/>
    <w:rsid w:val="00876408"/>
    <w:rsid w:val="00880B84"/>
    <w:rsid w:val="00895D06"/>
    <w:rsid w:val="008B13E9"/>
    <w:rsid w:val="009012E2"/>
    <w:rsid w:val="009329A0"/>
    <w:rsid w:val="009534D5"/>
    <w:rsid w:val="00984695"/>
    <w:rsid w:val="00995540"/>
    <w:rsid w:val="009B5AA8"/>
    <w:rsid w:val="009C4CBA"/>
    <w:rsid w:val="00A10143"/>
    <w:rsid w:val="00A141E5"/>
    <w:rsid w:val="00A67CCC"/>
    <w:rsid w:val="00A77E69"/>
    <w:rsid w:val="00A90E1D"/>
    <w:rsid w:val="00A94F51"/>
    <w:rsid w:val="00AA03C1"/>
    <w:rsid w:val="00AA6C5B"/>
    <w:rsid w:val="00AB2C4C"/>
    <w:rsid w:val="00AB3D4C"/>
    <w:rsid w:val="00AC7680"/>
    <w:rsid w:val="00AE5C2D"/>
    <w:rsid w:val="00AF61D1"/>
    <w:rsid w:val="00B12DFC"/>
    <w:rsid w:val="00B3229E"/>
    <w:rsid w:val="00C61B9A"/>
    <w:rsid w:val="00CD20D4"/>
    <w:rsid w:val="00D82EDE"/>
    <w:rsid w:val="00D862F2"/>
    <w:rsid w:val="00E0215A"/>
    <w:rsid w:val="00E17C09"/>
    <w:rsid w:val="00E26BD6"/>
    <w:rsid w:val="00E35F32"/>
    <w:rsid w:val="00E5031C"/>
    <w:rsid w:val="00ED679C"/>
    <w:rsid w:val="00F0293F"/>
    <w:rsid w:val="00F100C0"/>
    <w:rsid w:val="00F16872"/>
    <w:rsid w:val="00F45815"/>
    <w:rsid w:val="00F70B77"/>
    <w:rsid w:val="00F70EEC"/>
    <w:rsid w:val="00F7632B"/>
    <w:rsid w:val="00F87A3F"/>
    <w:rsid w:val="00FA2369"/>
    <w:rsid w:val="00FD439B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4831"/>
  <w15:docId w15:val="{CA623A2D-7BDE-49D0-B5A9-80610645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0C6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 Narrow" w:hAnsi="Arial Narrow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13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0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43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43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39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C813-DC9B-4015-A79E-1E9667E2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Pietraszko</dc:creator>
  <cp:lastModifiedBy>Dariusz Polakowski</cp:lastModifiedBy>
  <cp:revision>7</cp:revision>
  <cp:lastPrinted>2024-11-26T12:27:00Z</cp:lastPrinted>
  <dcterms:created xsi:type="dcterms:W3CDTF">2024-11-26T09:04:00Z</dcterms:created>
  <dcterms:modified xsi:type="dcterms:W3CDTF">2024-11-26T12:27:00Z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