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9FC6" w14:textId="68BDF836" w:rsidR="009262E5" w:rsidRPr="00036D4E" w:rsidRDefault="00463512" w:rsidP="00036D4E">
      <w:pPr>
        <w:pStyle w:val="Teksttreci0"/>
        <w:shd w:val="clear" w:color="auto" w:fill="auto"/>
        <w:spacing w:line="288" w:lineRule="auto"/>
        <w:jc w:val="right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 xml:space="preserve">Łapy, </w:t>
      </w:r>
      <w:r w:rsidR="00FB71D0" w:rsidRPr="00036D4E">
        <w:rPr>
          <w:rFonts w:ascii="Times New Roman" w:hAnsi="Times New Roman" w:cs="Times New Roman"/>
        </w:rPr>
        <w:t>26</w:t>
      </w:r>
      <w:r w:rsidR="0020428C" w:rsidRPr="00036D4E">
        <w:rPr>
          <w:rFonts w:ascii="Times New Roman" w:hAnsi="Times New Roman" w:cs="Times New Roman"/>
        </w:rPr>
        <w:t>.</w:t>
      </w:r>
      <w:r w:rsidR="00FB71D0" w:rsidRPr="00036D4E">
        <w:rPr>
          <w:rFonts w:ascii="Times New Roman" w:hAnsi="Times New Roman" w:cs="Times New Roman"/>
        </w:rPr>
        <w:t>11</w:t>
      </w:r>
      <w:r w:rsidR="0020428C" w:rsidRPr="00036D4E">
        <w:rPr>
          <w:rFonts w:ascii="Times New Roman" w:hAnsi="Times New Roman" w:cs="Times New Roman"/>
        </w:rPr>
        <w:t>.2024</w:t>
      </w:r>
      <w:r w:rsidR="00CE6340" w:rsidRPr="00036D4E">
        <w:rPr>
          <w:rFonts w:ascii="Times New Roman" w:hAnsi="Times New Roman" w:cs="Times New Roman"/>
        </w:rPr>
        <w:t xml:space="preserve"> r.</w:t>
      </w:r>
    </w:p>
    <w:p w14:paraId="418FF205" w14:textId="77777777" w:rsidR="00036D4E" w:rsidRDefault="00036D4E" w:rsidP="00036D4E">
      <w:pPr>
        <w:pStyle w:val="Nagwek20"/>
        <w:keepNext/>
        <w:keepLines/>
        <w:shd w:val="clear" w:color="auto" w:fill="auto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bookmarkStart w:id="1" w:name="bookmark1"/>
    </w:p>
    <w:p w14:paraId="07D45283" w14:textId="7391F5CF" w:rsidR="009262E5" w:rsidRPr="00036D4E" w:rsidRDefault="00036D4E" w:rsidP="00036D4E">
      <w:pPr>
        <w:pStyle w:val="Nagwek20"/>
        <w:keepNext/>
        <w:keepLines/>
        <w:shd w:val="clear" w:color="auto" w:fill="auto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D4E">
        <w:rPr>
          <w:rFonts w:ascii="Times New Roman" w:hAnsi="Times New Roman" w:cs="Times New Roman"/>
          <w:b/>
          <w:bCs/>
          <w:sz w:val="24"/>
          <w:szCs w:val="24"/>
        </w:rPr>
        <w:t>DODATKOWE WARUNKI PRZETARGU</w:t>
      </w:r>
      <w:bookmarkEnd w:id="0"/>
      <w:bookmarkEnd w:id="1"/>
    </w:p>
    <w:p w14:paraId="0DAE5224" w14:textId="77777777" w:rsidR="00036D4E" w:rsidRDefault="00036D4E" w:rsidP="00036D4E">
      <w:pPr>
        <w:pStyle w:val="Akapitzlist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6E2E7F" w14:textId="3E243266" w:rsidR="009262E5" w:rsidRDefault="00CE6340" w:rsidP="00296295">
      <w:pPr>
        <w:pStyle w:val="Akapitzlist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D4E">
        <w:rPr>
          <w:rFonts w:ascii="Times New Roman" w:hAnsi="Times New Roman" w:cs="Times New Roman"/>
          <w:sz w:val="24"/>
          <w:szCs w:val="24"/>
        </w:rPr>
        <w:t>Na podstawie rozporządzenia Rady Ministrów z dnia 14 września 2004 roku w sprawie sposobu i trybu przeprowadzania przetargów oraz rokowań na zbycie nieruchomości (</w:t>
      </w:r>
      <w:proofErr w:type="spellStart"/>
      <w:r w:rsidR="00546E14" w:rsidRPr="00036D4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6E14" w:rsidRPr="00036D4E">
        <w:rPr>
          <w:rFonts w:ascii="Times New Roman" w:hAnsi="Times New Roman" w:cs="Times New Roman"/>
          <w:sz w:val="24"/>
          <w:szCs w:val="24"/>
        </w:rPr>
        <w:t>. Dz. U. z 2021 r. poz. 2213).</w:t>
      </w:r>
      <w:r w:rsidRPr="00036D4E">
        <w:rPr>
          <w:rFonts w:ascii="Times New Roman" w:hAnsi="Times New Roman" w:cs="Times New Roman"/>
          <w:sz w:val="24"/>
          <w:szCs w:val="24"/>
        </w:rPr>
        <w:t xml:space="preserve"> ustala się dodatkowe warunki ograniczonego pisemnego przetargu ofertowego na sprzedaż prawa użytkowania wieczystego nieruchomości, stanowiących własność Skarbu Państwa w użytkowaniu wieczystym Gminy Łapy położonych na terenie Podstrefy Łapy Tarnobrzeskiej Specjalnej Strefy Ekonomicznej EURO-PARK WISŁOSAN.</w:t>
      </w:r>
    </w:p>
    <w:p w14:paraId="460E5B59" w14:textId="77777777" w:rsidR="00964DDD" w:rsidRPr="00036D4E" w:rsidRDefault="00964DDD" w:rsidP="00296295">
      <w:pPr>
        <w:pStyle w:val="Akapitzlist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AC635" w14:textId="77777777" w:rsidR="009262E5" w:rsidRPr="00F81585" w:rsidRDefault="00CE6340" w:rsidP="00296295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F81585">
        <w:rPr>
          <w:rFonts w:ascii="Times New Roman" w:hAnsi="Times New Roman" w:cs="Times New Roman"/>
          <w:b/>
          <w:bCs/>
        </w:rPr>
        <w:t>Pisemne oferty powinny zawierać:</w:t>
      </w:r>
    </w:p>
    <w:p w14:paraId="2792B3B3" w14:textId="77777777" w:rsidR="009262E5" w:rsidRPr="00036D4E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left="820" w:hanging="42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imię, nazwisko i adres oferenta lub nazwę firmy oraz siedzibę, jeśli oferentem jest osoba prawna,</w:t>
      </w:r>
    </w:p>
    <w:p w14:paraId="4204A8B4" w14:textId="77777777" w:rsidR="009262E5" w:rsidRPr="00036D4E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firstLine="38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dokumenty rejestrowe przedsiębiorców,</w:t>
      </w:r>
    </w:p>
    <w:p w14:paraId="47C8D097" w14:textId="77777777" w:rsidR="009262E5" w:rsidRPr="00036D4E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left="820" w:hanging="42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oświadczenie współmałżonka o wyrażeniu zgody na udział w przetargu osoby fizycznej w przypadku istnienia wspólności majątkowej,</w:t>
      </w:r>
    </w:p>
    <w:p w14:paraId="7DF70A77" w14:textId="77777777" w:rsidR="009262E5" w:rsidRPr="00036D4E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firstLine="38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datę sporządzenia oferty,</w:t>
      </w:r>
    </w:p>
    <w:p w14:paraId="095980BA" w14:textId="77777777" w:rsidR="009262E5" w:rsidRPr="00036D4E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left="820" w:hanging="42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oferowaną konkretną cenę podaną w zł netto bez wskazywania komisji wykonania dodatkowych przeliczeń,</w:t>
      </w:r>
    </w:p>
    <w:p w14:paraId="15F58BCE" w14:textId="77777777" w:rsidR="009262E5" w:rsidRPr="00036D4E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left="820" w:hanging="42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oświadczenie, że oferent zapoznał się z warunkami przetargu i przyjmuje te warunki bez zastrzeżeń,</w:t>
      </w:r>
    </w:p>
    <w:p w14:paraId="08011B5B" w14:textId="77777777" w:rsidR="009262E5" w:rsidRPr="00036D4E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firstLine="38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podpis osoby (osób) składających ofertę,</w:t>
      </w:r>
    </w:p>
    <w:p w14:paraId="2D832A68" w14:textId="2750AB2F" w:rsidR="009262E5" w:rsidRDefault="00CE6340" w:rsidP="00296295">
      <w:pPr>
        <w:pStyle w:val="Teksttreci0"/>
        <w:numPr>
          <w:ilvl w:val="0"/>
          <w:numId w:val="2"/>
        </w:numPr>
        <w:shd w:val="clear" w:color="auto" w:fill="auto"/>
        <w:tabs>
          <w:tab w:val="left" w:pos="790"/>
        </w:tabs>
        <w:spacing w:line="312" w:lineRule="auto"/>
        <w:ind w:firstLine="380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dowód wpłaty wadium</w:t>
      </w:r>
      <w:r w:rsidR="00F81585">
        <w:rPr>
          <w:rFonts w:ascii="Times New Roman" w:hAnsi="Times New Roman" w:cs="Times New Roman"/>
        </w:rPr>
        <w:t>.</w:t>
      </w:r>
    </w:p>
    <w:p w14:paraId="1EF7F2FD" w14:textId="2A0DD836" w:rsidR="00860E5F" w:rsidRPr="00F81585" w:rsidRDefault="00860E5F" w:rsidP="00296295">
      <w:pPr>
        <w:pStyle w:val="Teksttreci0"/>
        <w:numPr>
          <w:ilvl w:val="0"/>
          <w:numId w:val="1"/>
        </w:numPr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F81585">
        <w:rPr>
          <w:rFonts w:ascii="Times New Roman" w:hAnsi="Times New Roman" w:cs="Times New Roman"/>
          <w:b/>
          <w:bCs/>
        </w:rPr>
        <w:t>Kryteria oceny ofert:</w:t>
      </w:r>
    </w:p>
    <w:p w14:paraId="29319FD0" w14:textId="0C152D4F" w:rsidR="00860E5F" w:rsidRPr="00036D4E" w:rsidRDefault="00860E5F" w:rsidP="00296295">
      <w:pPr>
        <w:pStyle w:val="Teksttreci0"/>
        <w:spacing w:line="312" w:lineRule="auto"/>
        <w:ind w:left="284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a)</w:t>
      </w:r>
      <w:r w:rsidRPr="00036D4E">
        <w:rPr>
          <w:rFonts w:ascii="Times New Roman" w:hAnsi="Times New Roman" w:cs="Times New Roman"/>
        </w:rPr>
        <w:tab/>
        <w:t xml:space="preserve">oferowana cena nabycia nieruchomości </w:t>
      </w:r>
      <w:r w:rsidR="00C77C2C" w:rsidRPr="00036D4E">
        <w:rPr>
          <w:rFonts w:ascii="Times New Roman" w:hAnsi="Times New Roman" w:cs="Times New Roman"/>
        </w:rPr>
        <w:t xml:space="preserve">- </w:t>
      </w:r>
      <w:r w:rsidR="00843E40" w:rsidRPr="00036D4E">
        <w:rPr>
          <w:rFonts w:ascii="Times New Roman" w:hAnsi="Times New Roman" w:cs="Times New Roman"/>
        </w:rPr>
        <w:t>7</w:t>
      </w:r>
      <w:r w:rsidRPr="00036D4E">
        <w:rPr>
          <w:rFonts w:ascii="Times New Roman" w:hAnsi="Times New Roman" w:cs="Times New Roman"/>
        </w:rPr>
        <w:t>0 pkt,</w:t>
      </w:r>
    </w:p>
    <w:p w14:paraId="6FCCC879" w14:textId="0705EDA1" w:rsidR="00860E5F" w:rsidRPr="00036D4E" w:rsidRDefault="00860E5F" w:rsidP="00296295">
      <w:pPr>
        <w:pStyle w:val="Teksttreci0"/>
        <w:spacing w:line="312" w:lineRule="auto"/>
        <w:ind w:left="284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b)</w:t>
      </w:r>
      <w:r w:rsidRPr="00036D4E">
        <w:rPr>
          <w:rFonts w:ascii="Times New Roman" w:hAnsi="Times New Roman" w:cs="Times New Roman"/>
        </w:rPr>
        <w:tab/>
      </w:r>
      <w:r w:rsidR="00AD0E63" w:rsidRPr="00036D4E">
        <w:rPr>
          <w:rFonts w:ascii="Times New Roman" w:hAnsi="Times New Roman" w:cs="Times New Roman"/>
        </w:rPr>
        <w:t xml:space="preserve">ilość nieruchomości </w:t>
      </w:r>
      <w:r w:rsidR="009D341C">
        <w:rPr>
          <w:rFonts w:ascii="Times New Roman" w:hAnsi="Times New Roman" w:cs="Times New Roman"/>
        </w:rPr>
        <w:t>zadeklarowanych</w:t>
      </w:r>
      <w:r w:rsidR="00095645" w:rsidRPr="00036D4E">
        <w:rPr>
          <w:rFonts w:ascii="Times New Roman" w:hAnsi="Times New Roman" w:cs="Times New Roman"/>
        </w:rPr>
        <w:t xml:space="preserve"> w złożonej </w:t>
      </w:r>
      <w:r w:rsidR="000B5570" w:rsidRPr="00036D4E">
        <w:rPr>
          <w:rFonts w:ascii="Times New Roman" w:hAnsi="Times New Roman" w:cs="Times New Roman"/>
        </w:rPr>
        <w:t xml:space="preserve">ofercie </w:t>
      </w:r>
      <w:r w:rsidRPr="00036D4E">
        <w:rPr>
          <w:rFonts w:ascii="Times New Roman" w:hAnsi="Times New Roman" w:cs="Times New Roman"/>
        </w:rPr>
        <w:t>-</w:t>
      </w:r>
      <w:r w:rsidR="009311CC">
        <w:rPr>
          <w:rFonts w:ascii="Times New Roman" w:hAnsi="Times New Roman" w:cs="Times New Roman"/>
        </w:rPr>
        <w:t xml:space="preserve"> </w:t>
      </w:r>
      <w:r w:rsidR="009D341C">
        <w:rPr>
          <w:rFonts w:ascii="Times New Roman" w:hAnsi="Times New Roman" w:cs="Times New Roman"/>
        </w:rPr>
        <w:t>3</w:t>
      </w:r>
      <w:r w:rsidRPr="00036D4E">
        <w:rPr>
          <w:rFonts w:ascii="Times New Roman" w:hAnsi="Times New Roman" w:cs="Times New Roman"/>
        </w:rPr>
        <w:t>0 pkt</w:t>
      </w:r>
      <w:r w:rsidR="009D341C">
        <w:rPr>
          <w:rFonts w:ascii="Times New Roman" w:hAnsi="Times New Roman" w:cs="Times New Roman"/>
        </w:rPr>
        <w:t>.</w:t>
      </w:r>
    </w:p>
    <w:p w14:paraId="43B15AB6" w14:textId="5D483040" w:rsidR="00860E5F" w:rsidRPr="00F81585" w:rsidRDefault="00860E5F" w:rsidP="00296295">
      <w:pPr>
        <w:pStyle w:val="Teksttreci0"/>
        <w:numPr>
          <w:ilvl w:val="0"/>
          <w:numId w:val="1"/>
        </w:numPr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F81585">
        <w:rPr>
          <w:rFonts w:ascii="Times New Roman" w:hAnsi="Times New Roman" w:cs="Times New Roman"/>
          <w:b/>
          <w:bCs/>
        </w:rPr>
        <w:t>Sposób oceny ofert i wyboru najkorzystniejszej oferty:</w:t>
      </w:r>
    </w:p>
    <w:p w14:paraId="226CFEF2" w14:textId="77777777" w:rsidR="00713710" w:rsidRDefault="00860E5F" w:rsidP="00296295">
      <w:pPr>
        <w:pStyle w:val="Teksttreci0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Porównanie ofert odbędzie się oddzielnie dla każdego kryterium. Ofertom za kryteria oceny określone w pkt 2 zostaną przyznane punkty wg następującego wzoru :</w:t>
      </w:r>
    </w:p>
    <w:p w14:paraId="38F3C233" w14:textId="77777777" w:rsidR="00D2731A" w:rsidRPr="00036D4E" w:rsidRDefault="00D2731A" w:rsidP="00296295">
      <w:pPr>
        <w:pStyle w:val="Teksttreci0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</w:rPr>
      </w:pPr>
    </w:p>
    <w:p w14:paraId="026D71C2" w14:textId="77777777" w:rsidR="00496DD5" w:rsidRPr="00113F31" w:rsidRDefault="00860E5F" w:rsidP="00296295">
      <w:pPr>
        <w:pStyle w:val="Teksttreci0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113F31">
        <w:rPr>
          <w:rFonts w:ascii="Times New Roman" w:hAnsi="Times New Roman" w:cs="Times New Roman"/>
          <w:i/>
          <w:iCs/>
        </w:rPr>
        <w:t>wielkość oferty badanej</w:t>
      </w:r>
      <w:r w:rsidRPr="00113F31">
        <w:rPr>
          <w:rFonts w:ascii="Times New Roman" w:hAnsi="Times New Roman" w:cs="Times New Roman"/>
          <w:i/>
          <w:iCs/>
        </w:rPr>
        <w:tab/>
      </w:r>
    </w:p>
    <w:p w14:paraId="7A988693" w14:textId="5275BFC1" w:rsidR="006B34D3" w:rsidRPr="00113F31" w:rsidRDefault="00C80D9A" w:rsidP="00296295">
      <w:pPr>
        <w:pStyle w:val="Teksttreci0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113F31">
        <w:rPr>
          <w:rFonts w:ascii="Times New Roman" w:hAnsi="Times New Roman" w:cs="Times New Roman"/>
          <w:i/>
          <w:iCs/>
        </w:rPr>
        <w:t>……………………………</w:t>
      </w:r>
      <w:r w:rsidR="00D2731A">
        <w:rPr>
          <w:rFonts w:ascii="Times New Roman" w:hAnsi="Times New Roman" w:cs="Times New Roman"/>
          <w:i/>
          <w:iCs/>
        </w:rPr>
        <w:t>………………</w:t>
      </w:r>
      <w:r w:rsidRPr="00113F31">
        <w:rPr>
          <w:rFonts w:ascii="Times New Roman" w:hAnsi="Times New Roman" w:cs="Times New Roman"/>
          <w:i/>
          <w:iCs/>
        </w:rPr>
        <w:t xml:space="preserve"> </w:t>
      </w:r>
      <w:r w:rsidR="00860E5F" w:rsidRPr="00113F31">
        <w:rPr>
          <w:rFonts w:ascii="Times New Roman" w:hAnsi="Times New Roman" w:cs="Times New Roman"/>
          <w:i/>
          <w:iCs/>
        </w:rPr>
        <w:t>x</w:t>
      </w:r>
      <w:r w:rsidR="009311CC">
        <w:rPr>
          <w:rFonts w:ascii="Times New Roman" w:hAnsi="Times New Roman" w:cs="Times New Roman"/>
          <w:i/>
          <w:iCs/>
        </w:rPr>
        <w:t xml:space="preserve">   </w:t>
      </w:r>
      <w:r w:rsidR="00860E5F" w:rsidRPr="00113F31">
        <w:rPr>
          <w:rFonts w:ascii="Times New Roman" w:hAnsi="Times New Roman" w:cs="Times New Roman"/>
          <w:i/>
          <w:iCs/>
        </w:rPr>
        <w:t xml:space="preserve"> maksymalna liczba punktów dla danego kryterium </w:t>
      </w:r>
    </w:p>
    <w:p w14:paraId="69D1B378" w14:textId="3B77B647" w:rsidR="00860E5F" w:rsidRDefault="00860E5F" w:rsidP="00296295">
      <w:pPr>
        <w:pStyle w:val="Teksttreci0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113F31">
        <w:rPr>
          <w:rFonts w:ascii="Times New Roman" w:hAnsi="Times New Roman" w:cs="Times New Roman"/>
          <w:i/>
          <w:iCs/>
        </w:rPr>
        <w:t>najwyższa wielkość ze złożonych ofert</w:t>
      </w:r>
    </w:p>
    <w:p w14:paraId="64F8612F" w14:textId="77777777" w:rsidR="00D2731A" w:rsidRPr="00036D4E" w:rsidRDefault="00D2731A" w:rsidP="00296295">
      <w:pPr>
        <w:pStyle w:val="Teksttreci0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</w:rPr>
      </w:pPr>
    </w:p>
    <w:p w14:paraId="2CDEE1D4" w14:textId="77777777" w:rsidR="00860E5F" w:rsidRPr="00036D4E" w:rsidRDefault="00860E5F" w:rsidP="00296295">
      <w:pPr>
        <w:pStyle w:val="Teksttreci0"/>
        <w:numPr>
          <w:ilvl w:val="0"/>
          <w:numId w:val="1"/>
        </w:numPr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Wyliczone w ten sposób punkty za poszczególne kryteria z danej oferty zostaną zsumowane. Za najkorzystniejszą zostanie uznana oferta, która otrzyma największą liczbę punktów.</w:t>
      </w:r>
    </w:p>
    <w:p w14:paraId="2D9D143B" w14:textId="131D6AC6" w:rsidR="00C7086D" w:rsidRPr="00D2731A" w:rsidRDefault="00231E64" w:rsidP="00296295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line="312" w:lineRule="auto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lastRenderedPageBreak/>
        <w:t>Nabycie prawa użytkowania wieczystego nieruchomości związane jest z obowiązkiem uiszczania</w:t>
      </w:r>
      <w:r w:rsidR="00D2731A">
        <w:rPr>
          <w:rFonts w:ascii="Times New Roman" w:hAnsi="Times New Roman" w:cs="Times New Roman"/>
        </w:rPr>
        <w:t xml:space="preserve"> </w:t>
      </w:r>
      <w:r w:rsidRPr="00D2731A">
        <w:rPr>
          <w:rFonts w:ascii="Times New Roman" w:hAnsi="Times New Roman" w:cs="Times New Roman"/>
        </w:rPr>
        <w:t>opłat rocznych z tytułu użytkowania wieczystego gruntu na rzecz właściciela (Skarb Państwa).</w:t>
      </w:r>
      <w:r w:rsidR="00D2731A">
        <w:rPr>
          <w:rFonts w:ascii="Times New Roman" w:hAnsi="Times New Roman" w:cs="Times New Roman"/>
        </w:rPr>
        <w:t xml:space="preserve"> </w:t>
      </w:r>
      <w:r w:rsidRPr="00D2731A">
        <w:rPr>
          <w:rFonts w:ascii="Times New Roman" w:hAnsi="Times New Roman" w:cs="Times New Roman"/>
        </w:rPr>
        <w:t>Nabywca zobowiązany będzie do proporcjonalnego zwrotu części wniesionej opłaty za u</w:t>
      </w:r>
      <w:r w:rsidR="00D23057" w:rsidRPr="00D2731A">
        <w:rPr>
          <w:rFonts w:ascii="Times New Roman" w:hAnsi="Times New Roman" w:cs="Times New Roman"/>
        </w:rPr>
        <w:t>żytkowanie wieczyste za 202</w:t>
      </w:r>
      <w:r w:rsidR="000B5570" w:rsidRPr="00D2731A">
        <w:rPr>
          <w:rFonts w:ascii="Times New Roman" w:hAnsi="Times New Roman" w:cs="Times New Roman"/>
        </w:rPr>
        <w:t>5</w:t>
      </w:r>
      <w:r w:rsidR="001E2C59" w:rsidRPr="00D2731A">
        <w:rPr>
          <w:rFonts w:ascii="Times New Roman" w:hAnsi="Times New Roman" w:cs="Times New Roman"/>
        </w:rPr>
        <w:t xml:space="preserve"> r</w:t>
      </w:r>
      <w:r w:rsidRPr="00D2731A">
        <w:rPr>
          <w:rFonts w:ascii="Times New Roman" w:hAnsi="Times New Roman" w:cs="Times New Roman"/>
        </w:rPr>
        <w:t>. Obowiązek zwrotu obejmuje okres od dnia notarialnej umowy sprzedaży.</w:t>
      </w:r>
    </w:p>
    <w:p w14:paraId="4269FFF2" w14:textId="77777777" w:rsidR="00231E64" w:rsidRPr="00036D4E" w:rsidRDefault="00231E64" w:rsidP="00296295">
      <w:pPr>
        <w:pStyle w:val="Teksttreci0"/>
        <w:numPr>
          <w:ilvl w:val="0"/>
          <w:numId w:val="1"/>
        </w:numPr>
        <w:shd w:val="clear" w:color="auto" w:fill="auto"/>
        <w:tabs>
          <w:tab w:val="left" w:pos="364"/>
        </w:tabs>
        <w:spacing w:line="312" w:lineRule="auto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  <w:shd w:val="clear" w:color="auto" w:fill="FFFFFF"/>
        </w:rPr>
        <w:t>Koszty notarialne i wieczysto-księgowe ponosi Nabywca.</w:t>
      </w:r>
    </w:p>
    <w:p w14:paraId="1592E653" w14:textId="77777777" w:rsidR="00D2731A" w:rsidRDefault="00D2731A" w:rsidP="00296295">
      <w:pPr>
        <w:pStyle w:val="Teksttreci0"/>
        <w:shd w:val="clear" w:color="auto" w:fill="auto"/>
        <w:spacing w:line="312" w:lineRule="auto"/>
        <w:jc w:val="both"/>
        <w:rPr>
          <w:rFonts w:ascii="Times New Roman" w:hAnsi="Times New Roman" w:cs="Times New Roman"/>
        </w:rPr>
      </w:pPr>
    </w:p>
    <w:p w14:paraId="2C60E1E1" w14:textId="77777777" w:rsidR="00D2731A" w:rsidRDefault="00D2731A" w:rsidP="00296295">
      <w:pPr>
        <w:pStyle w:val="Teksttreci0"/>
        <w:shd w:val="clear" w:color="auto" w:fill="auto"/>
        <w:spacing w:line="312" w:lineRule="auto"/>
        <w:jc w:val="both"/>
        <w:rPr>
          <w:rFonts w:ascii="Times New Roman" w:hAnsi="Times New Roman" w:cs="Times New Roman"/>
        </w:rPr>
      </w:pPr>
    </w:p>
    <w:p w14:paraId="778CC672" w14:textId="5C856F64" w:rsidR="009262E5" w:rsidRPr="00036D4E" w:rsidRDefault="00CE6340" w:rsidP="00296295">
      <w:pPr>
        <w:pStyle w:val="Teksttreci0"/>
        <w:shd w:val="clear" w:color="auto" w:fill="auto"/>
        <w:spacing w:line="312" w:lineRule="auto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Załączniki:</w:t>
      </w:r>
    </w:p>
    <w:p w14:paraId="5D51DEEE" w14:textId="08EDDA01" w:rsidR="00C7086D" w:rsidRPr="00036D4E" w:rsidRDefault="00C7086D" w:rsidP="00296295">
      <w:pPr>
        <w:pStyle w:val="Teksttreci0"/>
        <w:numPr>
          <w:ilvl w:val="0"/>
          <w:numId w:val="5"/>
        </w:numPr>
        <w:tabs>
          <w:tab w:val="left" w:pos="284"/>
        </w:tabs>
        <w:spacing w:line="312" w:lineRule="auto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 xml:space="preserve">Załącznik nr 1 – Sprawozdanie geotechniczne z ustalenia warunków gruntowych na działkach o nr 14/23, 14/24, 14/25 </w:t>
      </w:r>
    </w:p>
    <w:p w14:paraId="031349D0" w14:textId="6FA12088" w:rsidR="00C7086D" w:rsidRPr="00036D4E" w:rsidRDefault="00C7086D" w:rsidP="00296295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312" w:lineRule="auto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Załącznik nr 2 – wyciąg ze Sprawozdania geotechnicznego z punktowego rozpoznania warunków gruntowych w granicach działek o nr 211/5 i 14/22.</w:t>
      </w:r>
    </w:p>
    <w:p w14:paraId="0C1ED116" w14:textId="64C56DF7" w:rsidR="00AE59C2" w:rsidRPr="00036D4E" w:rsidRDefault="00AE59C2" w:rsidP="00296295">
      <w:pPr>
        <w:pStyle w:val="Teksttreci0"/>
        <w:numPr>
          <w:ilvl w:val="0"/>
          <w:numId w:val="5"/>
        </w:numPr>
        <w:shd w:val="clear" w:color="auto" w:fill="auto"/>
        <w:tabs>
          <w:tab w:val="left" w:pos="196"/>
        </w:tabs>
        <w:spacing w:line="312" w:lineRule="auto"/>
        <w:jc w:val="both"/>
        <w:rPr>
          <w:rFonts w:ascii="Times New Roman" w:hAnsi="Times New Roman" w:cs="Times New Roman"/>
        </w:rPr>
      </w:pPr>
      <w:r w:rsidRPr="00036D4E">
        <w:rPr>
          <w:rFonts w:ascii="Times New Roman" w:hAnsi="Times New Roman" w:cs="Times New Roman"/>
        </w:rPr>
        <w:t>Załącznik nr 3 – Wzór oferty</w:t>
      </w:r>
    </w:p>
    <w:p w14:paraId="0844569A" w14:textId="77777777" w:rsidR="009262E5" w:rsidRPr="00036D4E" w:rsidRDefault="009262E5" w:rsidP="00296295">
      <w:pPr>
        <w:pStyle w:val="Teksttreci20"/>
        <w:shd w:val="clear" w:color="auto" w:fill="auto"/>
        <w:spacing w:after="0" w:line="312" w:lineRule="auto"/>
        <w:jc w:val="left"/>
        <w:rPr>
          <w:sz w:val="24"/>
          <w:szCs w:val="24"/>
        </w:rPr>
      </w:pPr>
    </w:p>
    <w:sectPr w:rsidR="009262E5" w:rsidRPr="00036D4E">
      <w:footerReference w:type="default" r:id="rId7"/>
      <w:pgSz w:w="11900" w:h="16840"/>
      <w:pgMar w:top="1411" w:right="1530" w:bottom="2106" w:left="1207" w:header="98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88B5" w14:textId="77777777" w:rsidR="00D13009" w:rsidRDefault="00D13009">
      <w:r>
        <w:separator/>
      </w:r>
    </w:p>
  </w:endnote>
  <w:endnote w:type="continuationSeparator" w:id="0">
    <w:p w14:paraId="130D715E" w14:textId="77777777" w:rsidR="00D13009" w:rsidRDefault="00D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D409" w14:textId="77777777" w:rsidR="009262E5" w:rsidRDefault="00CE6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1EBA6A" wp14:editId="6AE24919">
              <wp:simplePos x="0" y="0"/>
              <wp:positionH relativeFrom="page">
                <wp:posOffset>6523990</wp:posOffset>
              </wp:positionH>
              <wp:positionV relativeFrom="page">
                <wp:posOffset>9838690</wp:posOffset>
              </wp:positionV>
              <wp:extent cx="2413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B470F" w14:textId="77777777" w:rsidR="009262E5" w:rsidRDefault="00CE634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 Narrow" w:eastAsia="Arial Narrow" w:hAnsi="Arial Narrow" w:cs="Arial Narrow"/>
                            </w:rP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fldChar w:fldCharType="separate"/>
                          </w:r>
                          <w:r w:rsidR="0020428C">
                            <w:rPr>
                              <w:rFonts w:ascii="Arial Narrow" w:eastAsia="Arial Narrow" w:hAnsi="Arial Narrow" w:cs="Arial Narrow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91EBA6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3.7pt;margin-top:774.7pt;width:1.9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" filled="f" stroked="f">
              <v:textbox style="mso-fit-shape-to-text:t" inset="0,0,0,0">
                <w:txbxContent>
                  <w:p w14:paraId="061B470F" w14:textId="77777777" w:rsidR="009262E5" w:rsidRDefault="00CE6340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 Narrow" w:eastAsia="Arial Narrow" w:hAnsi="Arial Narrow" w:cs="Arial Narrow"/>
                      </w:rP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</w:rPr>
                      <w:instrText xml:space="preserve"> PAGE \* MERGEFORMAT </w:instrText>
                    </w:r>
                    <w:r>
                      <w:rPr>
                        <w:rFonts w:ascii="Arial Narrow" w:eastAsia="Arial Narrow" w:hAnsi="Arial Narrow" w:cs="Arial Narrow"/>
                      </w:rPr>
                      <w:fldChar w:fldCharType="separate"/>
                    </w:r>
                    <w:r w:rsidR="0020428C">
                      <w:rPr>
                        <w:rFonts w:ascii="Arial Narrow" w:eastAsia="Arial Narrow" w:hAnsi="Arial Narrow" w:cs="Arial Narrow"/>
                        <w:noProof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990D" w14:textId="77777777" w:rsidR="00D13009" w:rsidRDefault="00D13009"/>
  </w:footnote>
  <w:footnote w:type="continuationSeparator" w:id="0">
    <w:p w14:paraId="77D4707E" w14:textId="77777777" w:rsidR="00D13009" w:rsidRDefault="00D13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5CE4"/>
    <w:multiLevelType w:val="multilevel"/>
    <w:tmpl w:val="E5B8672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8494F"/>
    <w:multiLevelType w:val="multilevel"/>
    <w:tmpl w:val="59BAB8AE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73B29"/>
    <w:multiLevelType w:val="multilevel"/>
    <w:tmpl w:val="85D6FCD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EE4C4B"/>
    <w:multiLevelType w:val="multilevel"/>
    <w:tmpl w:val="1696CC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07257B"/>
    <w:multiLevelType w:val="multilevel"/>
    <w:tmpl w:val="7200F0B0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72B59"/>
    <w:multiLevelType w:val="multilevel"/>
    <w:tmpl w:val="618A8902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b w:val="0"/>
      </w:rPr>
    </w:lvl>
  </w:abstractNum>
  <w:num w:numId="1" w16cid:durableId="334304612">
    <w:abstractNumId w:val="4"/>
  </w:num>
  <w:num w:numId="2" w16cid:durableId="1973708847">
    <w:abstractNumId w:val="3"/>
  </w:num>
  <w:num w:numId="3" w16cid:durableId="1298299634">
    <w:abstractNumId w:val="2"/>
  </w:num>
  <w:num w:numId="4" w16cid:durableId="507016199">
    <w:abstractNumId w:val="0"/>
  </w:num>
  <w:num w:numId="5" w16cid:durableId="184947739">
    <w:abstractNumId w:val="1"/>
  </w:num>
  <w:num w:numId="6" w16cid:durableId="13599552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3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E5"/>
    <w:rsid w:val="0002343A"/>
    <w:rsid w:val="00034841"/>
    <w:rsid w:val="00036D4E"/>
    <w:rsid w:val="00095645"/>
    <w:rsid w:val="000964A7"/>
    <w:rsid w:val="000B5570"/>
    <w:rsid w:val="000C2F0A"/>
    <w:rsid w:val="000D6BE2"/>
    <w:rsid w:val="00107C50"/>
    <w:rsid w:val="00113F31"/>
    <w:rsid w:val="00135153"/>
    <w:rsid w:val="001376B7"/>
    <w:rsid w:val="00137B21"/>
    <w:rsid w:val="001557EF"/>
    <w:rsid w:val="001E2C59"/>
    <w:rsid w:val="0020428C"/>
    <w:rsid w:val="0021156C"/>
    <w:rsid w:val="00212496"/>
    <w:rsid w:val="00231E64"/>
    <w:rsid w:val="00245061"/>
    <w:rsid w:val="00281245"/>
    <w:rsid w:val="00293566"/>
    <w:rsid w:val="00296295"/>
    <w:rsid w:val="00336FA0"/>
    <w:rsid w:val="00375B3B"/>
    <w:rsid w:val="003C1F1E"/>
    <w:rsid w:val="003E600B"/>
    <w:rsid w:val="00463512"/>
    <w:rsid w:val="00496DD5"/>
    <w:rsid w:val="004A59BB"/>
    <w:rsid w:val="00517436"/>
    <w:rsid w:val="00532175"/>
    <w:rsid w:val="00546E14"/>
    <w:rsid w:val="00556116"/>
    <w:rsid w:val="005A2B5C"/>
    <w:rsid w:val="00611480"/>
    <w:rsid w:val="00685061"/>
    <w:rsid w:val="006B34D3"/>
    <w:rsid w:val="00713710"/>
    <w:rsid w:val="00764074"/>
    <w:rsid w:val="00843E40"/>
    <w:rsid w:val="00857970"/>
    <w:rsid w:val="00860E5F"/>
    <w:rsid w:val="009262E5"/>
    <w:rsid w:val="009311CC"/>
    <w:rsid w:val="00964DDD"/>
    <w:rsid w:val="009C2B2E"/>
    <w:rsid w:val="009D341C"/>
    <w:rsid w:val="009E35D6"/>
    <w:rsid w:val="00AA4306"/>
    <w:rsid w:val="00AD0E63"/>
    <w:rsid w:val="00AE59C2"/>
    <w:rsid w:val="00AF7C4F"/>
    <w:rsid w:val="00C214C5"/>
    <w:rsid w:val="00C61D58"/>
    <w:rsid w:val="00C7086D"/>
    <w:rsid w:val="00C77C2C"/>
    <w:rsid w:val="00C80D9A"/>
    <w:rsid w:val="00CE6340"/>
    <w:rsid w:val="00D13009"/>
    <w:rsid w:val="00D23057"/>
    <w:rsid w:val="00D2731A"/>
    <w:rsid w:val="00DC4774"/>
    <w:rsid w:val="00E14EC9"/>
    <w:rsid w:val="00E209B9"/>
    <w:rsid w:val="00E2631A"/>
    <w:rsid w:val="00E41065"/>
    <w:rsid w:val="00E443E6"/>
    <w:rsid w:val="00E45778"/>
    <w:rsid w:val="00E5446A"/>
    <w:rsid w:val="00E73D90"/>
    <w:rsid w:val="00F24261"/>
    <w:rsid w:val="00F81585"/>
    <w:rsid w:val="00FA0042"/>
    <w:rsid w:val="00FA2314"/>
    <w:rsid w:val="00FB71D0"/>
    <w:rsid w:val="00FD4A1C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8DF4"/>
  <w15:docId w15:val="{4D8A2E3E-6317-47D7-9F5C-EA8289B4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D64E5E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64E5E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Arial Narrow" w:eastAsia="Arial Narrow" w:hAnsi="Arial Narrow" w:cs="Arial Narrow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56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2" w:lineRule="auto"/>
      <w:ind w:firstLine="380"/>
    </w:pPr>
    <w:rPr>
      <w:rFonts w:ascii="Arial Narrow" w:eastAsia="Arial Narrow" w:hAnsi="Arial Narrow" w:cs="Arial Narrow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9" w:lineRule="auto"/>
      <w:jc w:val="center"/>
      <w:outlineLvl w:val="0"/>
    </w:pPr>
    <w:rPr>
      <w:rFonts w:ascii="Century Schoolbook" w:eastAsia="Century Schoolbook" w:hAnsi="Century Schoolbook" w:cs="Century Schoolbook"/>
      <w:smallCaps/>
      <w:color w:val="D64E5E"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0" w:line="218" w:lineRule="auto"/>
      <w:jc w:val="center"/>
    </w:pPr>
    <w:rPr>
      <w:rFonts w:ascii="Times New Roman" w:eastAsia="Times New Roman" w:hAnsi="Times New Roman" w:cs="Times New Roman"/>
      <w:color w:val="D64E5E"/>
      <w:sz w:val="20"/>
      <w:szCs w:val="20"/>
    </w:rPr>
  </w:style>
  <w:style w:type="paragraph" w:styleId="Akapitzlist">
    <w:name w:val="List Paragraph"/>
    <w:basedOn w:val="Normalny"/>
    <w:qFormat/>
    <w:rsid w:val="00375B3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6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Pietraszko</dc:creator>
  <cp:lastModifiedBy>Magdalena Perkowska-Szymanowicz</cp:lastModifiedBy>
  <cp:revision>6</cp:revision>
  <cp:lastPrinted>2022-12-15T09:14:00Z</cp:lastPrinted>
  <dcterms:created xsi:type="dcterms:W3CDTF">2024-11-26T09:26:00Z</dcterms:created>
  <dcterms:modified xsi:type="dcterms:W3CDTF">2024-11-26T12:13:00Z</dcterms:modified>
</cp:coreProperties>
</file>